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510"/>
      </w:tblGrid>
      <w:tr w:rsidR="007B23FC" w14:paraId="27C4AD30" w14:textId="77777777" w:rsidTr="00421A4C">
        <w:tc>
          <w:tcPr>
            <w:tcW w:w="8510" w:type="dxa"/>
            <w:tcBorders>
              <w:bottom w:val="single" w:sz="18" w:space="0" w:color="auto"/>
            </w:tcBorders>
          </w:tcPr>
          <w:p w14:paraId="7FB7477B" w14:textId="77777777" w:rsidR="007B23FC" w:rsidRDefault="007B23FC" w:rsidP="00A53B04">
            <w:pPr>
              <w:pStyle w:val="Infotext"/>
              <w:rPr>
                <w:rFonts w:ascii="Arial Black" w:hAnsi="Arial Black"/>
                <w:color w:val="999999"/>
                <w:sz w:val="36"/>
                <w:szCs w:val="36"/>
              </w:rPr>
            </w:pPr>
            <w:bookmarkStart w:id="0" w:name="_Hlk149247525"/>
            <w:bookmarkEnd w:id="0"/>
            <w:r>
              <w:rPr>
                <w:rFonts w:ascii="Arial Black" w:hAnsi="Arial Black"/>
                <w:color w:val="999999"/>
                <w:sz w:val="36"/>
                <w:szCs w:val="36"/>
              </w:rPr>
              <w:t xml:space="preserve">     </w:t>
            </w:r>
          </w:p>
          <w:p w14:paraId="353E420E" w14:textId="3FFF9D73" w:rsidR="007B23FC" w:rsidRDefault="00E27704" w:rsidP="00A53B04">
            <w:pPr>
              <w:pStyle w:val="Infotext"/>
              <w:rPr>
                <w:rFonts w:ascii="Arial Black" w:hAnsi="Arial Black"/>
                <w:color w:val="999999"/>
                <w:sz w:val="36"/>
                <w:szCs w:val="36"/>
              </w:rPr>
            </w:pPr>
            <w:r>
              <w:rPr>
                <w:noProof/>
              </w:rPr>
              <w:drawing>
                <wp:inline distT="0" distB="0" distL="0" distR="0" wp14:anchorId="4C481985" wp14:editId="0507EDDE">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3078DD0B" w14:textId="77777777" w:rsidR="007B23FC" w:rsidRPr="007B23FC" w:rsidRDefault="007B23FC" w:rsidP="00A53B04">
            <w:pPr>
              <w:rPr>
                <w:rFonts w:ascii="Arial Black" w:hAnsi="Arial Black" w:cs="Arial"/>
                <w:szCs w:val="36"/>
              </w:rPr>
            </w:pPr>
          </w:p>
        </w:tc>
      </w:tr>
    </w:tbl>
    <w:p w14:paraId="3F34DB23" w14:textId="77777777" w:rsidR="004076C8" w:rsidRPr="0036201C" w:rsidRDefault="004076C8"/>
    <w:tbl>
      <w:tblPr>
        <w:tblW w:w="0" w:type="auto"/>
        <w:tblLayout w:type="fixed"/>
        <w:tblLook w:val="0000" w:firstRow="0" w:lastRow="0" w:firstColumn="0" w:lastColumn="0" w:noHBand="0" w:noVBand="0"/>
      </w:tblPr>
      <w:tblGrid>
        <w:gridCol w:w="3456"/>
        <w:gridCol w:w="5054"/>
      </w:tblGrid>
      <w:tr w:rsidR="00333FAA" w14:paraId="677D8C26" w14:textId="77777777">
        <w:tc>
          <w:tcPr>
            <w:tcW w:w="3456" w:type="dxa"/>
            <w:tcBorders>
              <w:bottom w:val="single" w:sz="18" w:space="0" w:color="auto"/>
            </w:tcBorders>
          </w:tcPr>
          <w:p w14:paraId="69C7993E" w14:textId="77777777" w:rsidR="00333FAA" w:rsidRPr="00DB7535" w:rsidRDefault="00333FAA" w:rsidP="00A53B04">
            <w:pPr>
              <w:pStyle w:val="Infotext"/>
              <w:rPr>
                <w:rFonts w:ascii="Arial Black" w:hAnsi="Arial Black"/>
                <w:sz w:val="36"/>
                <w:szCs w:val="36"/>
              </w:rPr>
            </w:pPr>
            <w:r w:rsidRPr="00DB7535">
              <w:rPr>
                <w:rFonts w:ascii="Arial Black" w:hAnsi="Arial Black"/>
                <w:sz w:val="36"/>
                <w:szCs w:val="36"/>
              </w:rPr>
              <w:t>REPORT FOR:</w:t>
            </w:r>
          </w:p>
          <w:p w14:paraId="294EBCF6" w14:textId="77777777" w:rsidR="00333FAA" w:rsidRPr="00DB7535" w:rsidRDefault="00333FAA" w:rsidP="00A53B04">
            <w:pPr>
              <w:pStyle w:val="Infotext"/>
              <w:rPr>
                <w:rFonts w:ascii="Arial Black" w:hAnsi="Arial Black" w:cs="Arial"/>
                <w:sz w:val="36"/>
                <w:szCs w:val="36"/>
              </w:rPr>
            </w:pPr>
          </w:p>
        </w:tc>
        <w:tc>
          <w:tcPr>
            <w:tcW w:w="5054" w:type="dxa"/>
            <w:tcBorders>
              <w:bottom w:val="single" w:sz="18" w:space="0" w:color="auto"/>
            </w:tcBorders>
          </w:tcPr>
          <w:p w14:paraId="2E149AA6" w14:textId="366A6701" w:rsidR="00333FAA" w:rsidRPr="00DB7535" w:rsidRDefault="00333FAA" w:rsidP="00331906">
            <w:pPr>
              <w:rPr>
                <w:rFonts w:ascii="Arial Black" w:hAnsi="Arial Black" w:cs="Arial"/>
                <w:szCs w:val="24"/>
              </w:rPr>
            </w:pPr>
            <w:r w:rsidRPr="00DB7535">
              <w:rPr>
                <w:rFonts w:ascii="Arial Black" w:hAnsi="Arial Black" w:cs="Arial"/>
                <w:sz w:val="36"/>
                <w:szCs w:val="36"/>
              </w:rPr>
              <w:t>CABINET</w:t>
            </w:r>
          </w:p>
        </w:tc>
      </w:tr>
      <w:tr w:rsidR="00333FAA" w14:paraId="2F098158" w14:textId="77777777">
        <w:tc>
          <w:tcPr>
            <w:tcW w:w="3456" w:type="dxa"/>
            <w:tcBorders>
              <w:top w:val="single" w:sz="18" w:space="0" w:color="auto"/>
            </w:tcBorders>
          </w:tcPr>
          <w:p w14:paraId="56767056"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8C0679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853B9BE" w14:textId="592DF1F9" w:rsidR="00333FAA" w:rsidRPr="005E3A10" w:rsidRDefault="00E27704" w:rsidP="0021422B">
            <w:pPr>
              <w:rPr>
                <w:rFonts w:cs="Arial"/>
                <w:szCs w:val="24"/>
              </w:rPr>
            </w:pPr>
            <w:r>
              <w:rPr>
                <w:rFonts w:cs="Arial"/>
                <w:szCs w:val="24"/>
              </w:rPr>
              <w:t>19</w:t>
            </w:r>
            <w:r w:rsidR="00105B2C">
              <w:rPr>
                <w:rFonts w:cs="Arial"/>
                <w:szCs w:val="24"/>
              </w:rPr>
              <w:t xml:space="preserve"> </w:t>
            </w:r>
            <w:r w:rsidR="0042315A">
              <w:rPr>
                <w:rFonts w:cs="Arial"/>
                <w:szCs w:val="24"/>
              </w:rPr>
              <w:t>December</w:t>
            </w:r>
            <w:r w:rsidR="0021422B">
              <w:rPr>
                <w:rFonts w:cs="Arial"/>
                <w:szCs w:val="24"/>
              </w:rPr>
              <w:t xml:space="preserve"> </w:t>
            </w:r>
            <w:r w:rsidR="00105B2C">
              <w:rPr>
                <w:rFonts w:cs="Arial"/>
                <w:szCs w:val="24"/>
              </w:rPr>
              <w:t>20</w:t>
            </w:r>
            <w:r>
              <w:rPr>
                <w:rFonts w:cs="Arial"/>
                <w:szCs w:val="24"/>
              </w:rPr>
              <w:t>23</w:t>
            </w:r>
          </w:p>
        </w:tc>
      </w:tr>
      <w:tr w:rsidR="00333FAA" w14:paraId="3E3CF406" w14:textId="77777777">
        <w:tc>
          <w:tcPr>
            <w:tcW w:w="3456" w:type="dxa"/>
          </w:tcPr>
          <w:p w14:paraId="1AB3E636"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029365E9" w14:textId="77777777" w:rsidR="00333FAA" w:rsidRPr="00C13A5F" w:rsidRDefault="00333FAA" w:rsidP="00A53B04">
            <w:pPr>
              <w:pStyle w:val="Infotext"/>
              <w:rPr>
                <w:rFonts w:ascii="Arial Black" w:hAnsi="Arial Black"/>
              </w:rPr>
            </w:pPr>
          </w:p>
        </w:tc>
        <w:tc>
          <w:tcPr>
            <w:tcW w:w="5054" w:type="dxa"/>
          </w:tcPr>
          <w:p w14:paraId="6BB94946" w14:textId="1AF810D2" w:rsidR="00333FAA" w:rsidRPr="005E3A10" w:rsidRDefault="00105B2C" w:rsidP="0021422B">
            <w:pPr>
              <w:rPr>
                <w:rFonts w:cs="Arial"/>
                <w:szCs w:val="24"/>
              </w:rPr>
            </w:pPr>
            <w:r>
              <w:rPr>
                <w:rFonts w:cs="Arial"/>
                <w:szCs w:val="24"/>
              </w:rPr>
              <w:t>Draft Capital Programme 20</w:t>
            </w:r>
            <w:r w:rsidR="0021422B">
              <w:rPr>
                <w:rFonts w:cs="Arial"/>
                <w:szCs w:val="24"/>
              </w:rPr>
              <w:t>2</w:t>
            </w:r>
            <w:r w:rsidR="00E27704">
              <w:rPr>
                <w:rFonts w:cs="Arial"/>
                <w:szCs w:val="24"/>
              </w:rPr>
              <w:t>4/25</w:t>
            </w:r>
            <w:r>
              <w:rPr>
                <w:rFonts w:cs="Arial"/>
                <w:szCs w:val="24"/>
              </w:rPr>
              <w:t xml:space="preserve"> to 20</w:t>
            </w:r>
            <w:r w:rsidR="009D42A5">
              <w:rPr>
                <w:rFonts w:cs="Arial"/>
                <w:szCs w:val="24"/>
              </w:rPr>
              <w:t>2</w:t>
            </w:r>
            <w:r w:rsidR="00E27704">
              <w:rPr>
                <w:rFonts w:cs="Arial"/>
                <w:szCs w:val="24"/>
              </w:rPr>
              <w:t>6/27</w:t>
            </w:r>
          </w:p>
        </w:tc>
      </w:tr>
      <w:tr w:rsidR="00333FAA" w14:paraId="22500B22" w14:textId="77777777">
        <w:tc>
          <w:tcPr>
            <w:tcW w:w="3456" w:type="dxa"/>
          </w:tcPr>
          <w:p w14:paraId="436A62D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635DE78E" w14:textId="77777777" w:rsidR="00333FAA" w:rsidRPr="00C13A5F" w:rsidRDefault="00333FAA" w:rsidP="00A53B04">
            <w:pPr>
              <w:pStyle w:val="Infotext"/>
              <w:rPr>
                <w:rFonts w:ascii="Arial Black" w:hAnsi="Arial Black" w:cs="Arial"/>
              </w:rPr>
            </w:pPr>
          </w:p>
        </w:tc>
        <w:tc>
          <w:tcPr>
            <w:tcW w:w="5054" w:type="dxa"/>
          </w:tcPr>
          <w:p w14:paraId="2489278D" w14:textId="77777777" w:rsidR="001C7E35" w:rsidRDefault="001C7E35" w:rsidP="001C7E35">
            <w:pPr>
              <w:pStyle w:val="Infotext"/>
              <w:rPr>
                <w:rFonts w:cs="Arial"/>
                <w:sz w:val="24"/>
                <w:szCs w:val="24"/>
              </w:rPr>
            </w:pPr>
            <w:r w:rsidRPr="005E3A10">
              <w:rPr>
                <w:rFonts w:cs="Arial"/>
                <w:sz w:val="24"/>
                <w:szCs w:val="24"/>
              </w:rPr>
              <w:t xml:space="preserve">Yes </w:t>
            </w:r>
          </w:p>
          <w:p w14:paraId="3CBF1474" w14:textId="77777777" w:rsidR="00105B2C" w:rsidRPr="005E3A10" w:rsidRDefault="00105B2C" w:rsidP="001C7E35">
            <w:pPr>
              <w:pStyle w:val="Infotext"/>
              <w:rPr>
                <w:rFonts w:cs="Arial"/>
                <w:sz w:val="24"/>
                <w:szCs w:val="24"/>
              </w:rPr>
            </w:pPr>
            <w:r>
              <w:rPr>
                <w:rFonts w:cs="Arial"/>
                <w:sz w:val="24"/>
                <w:szCs w:val="24"/>
              </w:rPr>
              <w:t>Involves expenditure in excess of £1m</w:t>
            </w:r>
          </w:p>
          <w:p w14:paraId="098083E1" w14:textId="77777777" w:rsidR="00333FAA" w:rsidRPr="005E3A10" w:rsidRDefault="00333FAA" w:rsidP="00105B2C">
            <w:pPr>
              <w:pStyle w:val="Infotext"/>
              <w:rPr>
                <w:rFonts w:cs="Arial"/>
                <w:szCs w:val="24"/>
              </w:rPr>
            </w:pPr>
          </w:p>
        </w:tc>
      </w:tr>
      <w:tr w:rsidR="001C7E35" w14:paraId="02F97FF1" w14:textId="77777777">
        <w:tc>
          <w:tcPr>
            <w:tcW w:w="3456" w:type="dxa"/>
          </w:tcPr>
          <w:p w14:paraId="73C7DA42"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550D1E0C" w14:textId="77777777" w:rsidR="001C7E35" w:rsidRPr="00C13A5F" w:rsidRDefault="001C7E35" w:rsidP="00A53B04">
            <w:pPr>
              <w:pStyle w:val="Infotext"/>
              <w:rPr>
                <w:rFonts w:ascii="Arial Black" w:hAnsi="Arial Black" w:cs="Arial"/>
              </w:rPr>
            </w:pPr>
          </w:p>
        </w:tc>
        <w:tc>
          <w:tcPr>
            <w:tcW w:w="5054" w:type="dxa"/>
          </w:tcPr>
          <w:p w14:paraId="734686CD" w14:textId="39C81145" w:rsidR="00105B2C" w:rsidRDefault="00E27704" w:rsidP="00D835CF">
            <w:pPr>
              <w:pStyle w:val="Infotext"/>
              <w:rPr>
                <w:rFonts w:cs="Arial"/>
                <w:sz w:val="24"/>
                <w:szCs w:val="24"/>
              </w:rPr>
            </w:pPr>
            <w:r>
              <w:rPr>
                <w:rFonts w:cs="Arial"/>
                <w:sz w:val="24"/>
                <w:szCs w:val="24"/>
              </w:rPr>
              <w:t>Sharon Daniels</w:t>
            </w:r>
            <w:r w:rsidR="00105B2C">
              <w:rPr>
                <w:rFonts w:cs="Arial"/>
                <w:sz w:val="24"/>
                <w:szCs w:val="24"/>
              </w:rPr>
              <w:t xml:space="preserve">, </w:t>
            </w:r>
            <w:r>
              <w:rPr>
                <w:rFonts w:cs="Arial"/>
                <w:sz w:val="24"/>
                <w:szCs w:val="24"/>
              </w:rPr>
              <w:t xml:space="preserve">Interim </w:t>
            </w:r>
            <w:r w:rsidR="00105B2C">
              <w:rPr>
                <w:rFonts w:cs="Arial"/>
                <w:sz w:val="24"/>
                <w:szCs w:val="24"/>
              </w:rPr>
              <w:t>Director of Finance</w:t>
            </w:r>
            <w:r w:rsidR="00AF334D">
              <w:rPr>
                <w:rFonts w:cs="Arial"/>
                <w:sz w:val="24"/>
                <w:szCs w:val="24"/>
              </w:rPr>
              <w:t xml:space="preserve"> and Assurance</w:t>
            </w:r>
          </w:p>
          <w:p w14:paraId="73AE5B82" w14:textId="77777777" w:rsidR="001C7E35" w:rsidRPr="005E3A10" w:rsidRDefault="001C7E35" w:rsidP="00105B2C">
            <w:pPr>
              <w:pStyle w:val="Infotext"/>
              <w:rPr>
                <w:rFonts w:cs="Arial"/>
                <w:sz w:val="24"/>
                <w:szCs w:val="24"/>
              </w:rPr>
            </w:pPr>
          </w:p>
        </w:tc>
      </w:tr>
      <w:tr w:rsidR="001C7E35" w14:paraId="30499558" w14:textId="77777777">
        <w:tc>
          <w:tcPr>
            <w:tcW w:w="3456" w:type="dxa"/>
          </w:tcPr>
          <w:p w14:paraId="38AE01D0"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06886A6D" w14:textId="77777777" w:rsidR="001C7E35" w:rsidRPr="00C13A5F" w:rsidRDefault="001C7E35" w:rsidP="00A53B04">
            <w:pPr>
              <w:pStyle w:val="BodyText"/>
              <w:rPr>
                <w:rFonts w:ascii="Arial Black" w:hAnsi="Arial Black"/>
              </w:rPr>
            </w:pPr>
          </w:p>
        </w:tc>
        <w:tc>
          <w:tcPr>
            <w:tcW w:w="5054" w:type="dxa"/>
          </w:tcPr>
          <w:p w14:paraId="1D2A4CA1" w14:textId="5B544E4B" w:rsidR="00AF334D" w:rsidRDefault="00AF334D" w:rsidP="00AF334D">
            <w:pPr>
              <w:pStyle w:val="Infotext"/>
              <w:rPr>
                <w:rFonts w:cs="Arial"/>
                <w:sz w:val="24"/>
                <w:szCs w:val="24"/>
              </w:rPr>
            </w:pPr>
            <w:r w:rsidRPr="002E1DF4">
              <w:rPr>
                <w:rFonts w:cs="Arial"/>
                <w:sz w:val="24"/>
                <w:szCs w:val="24"/>
              </w:rPr>
              <w:t xml:space="preserve">Councillor </w:t>
            </w:r>
            <w:r w:rsidR="00C27A68">
              <w:rPr>
                <w:rFonts w:cs="Arial"/>
                <w:sz w:val="24"/>
                <w:szCs w:val="24"/>
              </w:rPr>
              <w:t>David Ashton</w:t>
            </w:r>
            <w:r>
              <w:rPr>
                <w:rFonts w:cs="Arial"/>
                <w:sz w:val="24"/>
                <w:szCs w:val="24"/>
              </w:rPr>
              <w:t xml:space="preserve"> - </w:t>
            </w:r>
            <w:r w:rsidRPr="002E1DF4">
              <w:rPr>
                <w:rFonts w:cs="Arial"/>
                <w:sz w:val="24"/>
                <w:szCs w:val="24"/>
              </w:rPr>
              <w:t xml:space="preserve">Portfolio Holder for Finance and </w:t>
            </w:r>
            <w:r w:rsidR="00C27A68">
              <w:rPr>
                <w:rFonts w:cs="Arial"/>
                <w:sz w:val="24"/>
                <w:szCs w:val="24"/>
              </w:rPr>
              <w:t xml:space="preserve">Human </w:t>
            </w:r>
            <w:r w:rsidRPr="002E1DF4">
              <w:rPr>
                <w:rFonts w:cs="Arial"/>
                <w:sz w:val="24"/>
                <w:szCs w:val="24"/>
              </w:rPr>
              <w:t>Resources</w:t>
            </w:r>
          </w:p>
          <w:p w14:paraId="3A678441" w14:textId="7ACA8444" w:rsidR="001C7E35" w:rsidRPr="005E3A10" w:rsidRDefault="001C7E35" w:rsidP="005B5926">
            <w:pPr>
              <w:pStyle w:val="Infotext"/>
              <w:rPr>
                <w:rFonts w:cs="Arial"/>
                <w:color w:val="FF0000"/>
                <w:sz w:val="24"/>
                <w:szCs w:val="24"/>
              </w:rPr>
            </w:pPr>
          </w:p>
        </w:tc>
      </w:tr>
      <w:tr w:rsidR="001C7E35" w14:paraId="256DBF0C" w14:textId="77777777">
        <w:tc>
          <w:tcPr>
            <w:tcW w:w="3456" w:type="dxa"/>
          </w:tcPr>
          <w:p w14:paraId="11F321BF" w14:textId="77777777" w:rsidR="001C7E35" w:rsidRPr="00DB6C3D" w:rsidRDefault="001C7E35" w:rsidP="00DB6C3D">
            <w:pPr>
              <w:pStyle w:val="Infotext"/>
              <w:rPr>
                <w:rFonts w:ascii="Arial Black" w:hAnsi="Arial Black"/>
              </w:rPr>
            </w:pPr>
            <w:r w:rsidRPr="00DB6C3D">
              <w:rPr>
                <w:rFonts w:ascii="Arial Black" w:hAnsi="Arial Black"/>
              </w:rPr>
              <w:t>Exempt:</w:t>
            </w:r>
          </w:p>
          <w:p w14:paraId="37624885" w14:textId="77777777" w:rsidR="001C7E35" w:rsidRPr="00C13A5F" w:rsidRDefault="001C7E35" w:rsidP="00A53B04">
            <w:pPr>
              <w:pStyle w:val="BodyText"/>
              <w:rPr>
                <w:rFonts w:ascii="Arial Black" w:hAnsi="Arial Black"/>
              </w:rPr>
            </w:pPr>
          </w:p>
        </w:tc>
        <w:tc>
          <w:tcPr>
            <w:tcW w:w="5054" w:type="dxa"/>
          </w:tcPr>
          <w:p w14:paraId="5084EFA1" w14:textId="77777777" w:rsidR="001C7E35" w:rsidRPr="005E3A10" w:rsidRDefault="001C7E35" w:rsidP="00D835CF">
            <w:pPr>
              <w:pStyle w:val="Infotext"/>
              <w:rPr>
                <w:rFonts w:cs="Arial"/>
                <w:sz w:val="24"/>
                <w:szCs w:val="24"/>
              </w:rPr>
            </w:pPr>
            <w:r w:rsidRPr="005E3A10">
              <w:rPr>
                <w:rFonts w:cs="Arial"/>
                <w:sz w:val="24"/>
                <w:szCs w:val="24"/>
              </w:rPr>
              <w:t>No</w:t>
            </w:r>
          </w:p>
          <w:p w14:paraId="16E9E11C" w14:textId="77777777" w:rsidR="001C7E35" w:rsidRPr="005E3A10" w:rsidRDefault="001C7E35" w:rsidP="00105B2C">
            <w:pPr>
              <w:pStyle w:val="Infotext"/>
              <w:rPr>
                <w:rFonts w:cs="Arial"/>
                <w:color w:val="FF0000"/>
                <w:sz w:val="24"/>
                <w:szCs w:val="24"/>
              </w:rPr>
            </w:pPr>
          </w:p>
        </w:tc>
      </w:tr>
      <w:tr w:rsidR="001C7E35" w14:paraId="69867E5F" w14:textId="77777777">
        <w:tc>
          <w:tcPr>
            <w:tcW w:w="3456" w:type="dxa"/>
          </w:tcPr>
          <w:p w14:paraId="7E46FAF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041693C6" w14:textId="77777777" w:rsidR="001C7E35" w:rsidRPr="00C13A5F" w:rsidRDefault="001C7E35" w:rsidP="00A53B04">
            <w:pPr>
              <w:pStyle w:val="BodyText"/>
              <w:rPr>
                <w:rFonts w:ascii="Arial Black" w:hAnsi="Arial Black"/>
              </w:rPr>
            </w:pPr>
          </w:p>
        </w:tc>
        <w:tc>
          <w:tcPr>
            <w:tcW w:w="5054" w:type="dxa"/>
          </w:tcPr>
          <w:p w14:paraId="23169F8A" w14:textId="77777777" w:rsidR="00DB7535" w:rsidRDefault="00DB7535" w:rsidP="00D835CF">
            <w:pPr>
              <w:pStyle w:val="Infotext"/>
              <w:rPr>
                <w:rFonts w:cs="Arial"/>
                <w:sz w:val="24"/>
                <w:szCs w:val="24"/>
              </w:rPr>
            </w:pPr>
          </w:p>
          <w:p w14:paraId="712FD5B0" w14:textId="0CCCAD07" w:rsidR="001C7E35" w:rsidRPr="005E3A10" w:rsidRDefault="001C7E35" w:rsidP="00D835CF">
            <w:pPr>
              <w:pStyle w:val="Infotext"/>
              <w:rPr>
                <w:rFonts w:cs="Arial"/>
                <w:sz w:val="24"/>
                <w:szCs w:val="24"/>
              </w:rPr>
            </w:pPr>
            <w:r w:rsidRPr="005E3A10">
              <w:rPr>
                <w:rFonts w:cs="Arial"/>
                <w:sz w:val="24"/>
                <w:szCs w:val="24"/>
              </w:rPr>
              <w:t xml:space="preserve">Yes </w:t>
            </w:r>
          </w:p>
          <w:p w14:paraId="5325BB12" w14:textId="77777777" w:rsidR="00714BEE" w:rsidRPr="005E3A10" w:rsidRDefault="00714BEE" w:rsidP="00105B2C">
            <w:pPr>
              <w:rPr>
                <w:rFonts w:cs="Arial"/>
                <w:szCs w:val="24"/>
              </w:rPr>
            </w:pPr>
          </w:p>
        </w:tc>
      </w:tr>
      <w:tr w:rsidR="001C7E35" w14:paraId="2084B6A7" w14:textId="77777777">
        <w:tc>
          <w:tcPr>
            <w:tcW w:w="3456" w:type="dxa"/>
          </w:tcPr>
          <w:p w14:paraId="67AB04BC" w14:textId="77777777" w:rsidR="001C7E35" w:rsidRDefault="001C7E35" w:rsidP="00A53B04">
            <w:pPr>
              <w:pStyle w:val="Infotext"/>
              <w:rPr>
                <w:rFonts w:ascii="Arial Black" w:hAnsi="Arial Black" w:cs="Arial"/>
              </w:rPr>
            </w:pPr>
            <w:r>
              <w:rPr>
                <w:rFonts w:ascii="Arial Black" w:hAnsi="Arial Black" w:cs="Arial"/>
              </w:rPr>
              <w:t>Wards affected:</w:t>
            </w:r>
          </w:p>
          <w:p w14:paraId="26E194AA" w14:textId="77777777" w:rsidR="001C7E35" w:rsidRPr="00C13A5F" w:rsidRDefault="001C7E35" w:rsidP="00A53B04">
            <w:pPr>
              <w:pStyle w:val="Infotext"/>
              <w:rPr>
                <w:rFonts w:ascii="Arial Black" w:hAnsi="Arial Black" w:cs="Arial"/>
              </w:rPr>
            </w:pPr>
          </w:p>
        </w:tc>
        <w:tc>
          <w:tcPr>
            <w:tcW w:w="5054" w:type="dxa"/>
          </w:tcPr>
          <w:p w14:paraId="3710F49B" w14:textId="77777777" w:rsidR="001C7E35" w:rsidRPr="00587793" w:rsidRDefault="00105B2C" w:rsidP="00D835CF">
            <w:pPr>
              <w:rPr>
                <w:rFonts w:cs="Arial"/>
                <w:szCs w:val="24"/>
              </w:rPr>
            </w:pPr>
            <w:r w:rsidRPr="00587793">
              <w:rPr>
                <w:rFonts w:cs="Arial"/>
                <w:szCs w:val="24"/>
              </w:rPr>
              <w:t>All</w:t>
            </w:r>
          </w:p>
        </w:tc>
      </w:tr>
      <w:tr w:rsidR="001C7E35" w14:paraId="290348A7" w14:textId="77777777">
        <w:tc>
          <w:tcPr>
            <w:tcW w:w="3456" w:type="dxa"/>
          </w:tcPr>
          <w:p w14:paraId="1E5FDE11"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5ED6EAE5" w14:textId="77777777" w:rsidR="001C7E35" w:rsidRPr="00C13A5F" w:rsidRDefault="001C7E35" w:rsidP="00A53B04">
            <w:pPr>
              <w:pStyle w:val="Infotext"/>
              <w:rPr>
                <w:rFonts w:ascii="Arial Black" w:hAnsi="Arial Black" w:cs="Arial"/>
              </w:rPr>
            </w:pPr>
          </w:p>
        </w:tc>
        <w:tc>
          <w:tcPr>
            <w:tcW w:w="5054" w:type="dxa"/>
          </w:tcPr>
          <w:p w14:paraId="57E57905" w14:textId="303540C7" w:rsidR="00921B96" w:rsidRPr="005E0C91" w:rsidRDefault="00921B96" w:rsidP="00AF334D">
            <w:pPr>
              <w:pStyle w:val="Infotext"/>
              <w:rPr>
                <w:rFonts w:cs="Arial"/>
                <w:sz w:val="24"/>
                <w:szCs w:val="24"/>
              </w:rPr>
            </w:pPr>
            <w:r w:rsidRPr="005E0C91">
              <w:rPr>
                <w:rFonts w:cs="Arial"/>
                <w:sz w:val="24"/>
                <w:szCs w:val="24"/>
              </w:rPr>
              <w:t xml:space="preserve">Appendix 1 – Capital Programme Review </w:t>
            </w:r>
            <w:r w:rsidR="00EE1D57" w:rsidRPr="005E0C91">
              <w:rPr>
                <w:rFonts w:cs="Arial"/>
                <w:sz w:val="24"/>
                <w:szCs w:val="24"/>
              </w:rPr>
              <w:t>S</w:t>
            </w:r>
            <w:r w:rsidRPr="005E0C91">
              <w:rPr>
                <w:rFonts w:cs="Arial"/>
                <w:sz w:val="24"/>
                <w:szCs w:val="24"/>
              </w:rPr>
              <w:t>ummary</w:t>
            </w:r>
          </w:p>
          <w:p w14:paraId="5E9F1C63" w14:textId="77777777" w:rsidR="00921B96" w:rsidRPr="005E0C91" w:rsidRDefault="00921B96" w:rsidP="00AF334D">
            <w:pPr>
              <w:pStyle w:val="Infotext"/>
              <w:rPr>
                <w:rFonts w:cs="Arial"/>
                <w:sz w:val="24"/>
                <w:szCs w:val="24"/>
              </w:rPr>
            </w:pPr>
          </w:p>
          <w:p w14:paraId="344B5810" w14:textId="1AD0D0C3" w:rsidR="00AF334D" w:rsidRPr="00587793" w:rsidRDefault="00105B2C" w:rsidP="00AF334D">
            <w:pPr>
              <w:pStyle w:val="Infotext"/>
              <w:rPr>
                <w:rFonts w:cs="Arial"/>
                <w:sz w:val="24"/>
                <w:szCs w:val="24"/>
              </w:rPr>
            </w:pPr>
            <w:r w:rsidRPr="005E0C91">
              <w:rPr>
                <w:rFonts w:cs="Arial"/>
                <w:sz w:val="24"/>
                <w:szCs w:val="24"/>
              </w:rPr>
              <w:t xml:space="preserve">Appendix </w:t>
            </w:r>
            <w:r w:rsidR="00921B96" w:rsidRPr="005E0C91">
              <w:rPr>
                <w:rFonts w:cs="Arial"/>
                <w:sz w:val="24"/>
                <w:szCs w:val="24"/>
              </w:rPr>
              <w:t>2</w:t>
            </w:r>
            <w:r w:rsidRPr="005E0C91">
              <w:rPr>
                <w:rFonts w:cs="Arial"/>
                <w:sz w:val="24"/>
                <w:szCs w:val="24"/>
              </w:rPr>
              <w:t xml:space="preserve"> – </w:t>
            </w:r>
            <w:r w:rsidR="008A5E82" w:rsidRPr="005E0C91">
              <w:rPr>
                <w:rFonts w:cs="Arial"/>
                <w:sz w:val="24"/>
                <w:szCs w:val="24"/>
              </w:rPr>
              <w:t xml:space="preserve">Draft </w:t>
            </w:r>
            <w:r w:rsidR="00AF334D" w:rsidRPr="005E0C91">
              <w:rPr>
                <w:rFonts w:cs="Arial"/>
                <w:sz w:val="24"/>
                <w:szCs w:val="24"/>
              </w:rPr>
              <w:t xml:space="preserve">Capital </w:t>
            </w:r>
            <w:r w:rsidR="008A5E82" w:rsidRPr="005E0C91">
              <w:rPr>
                <w:rFonts w:cs="Arial"/>
                <w:sz w:val="24"/>
                <w:szCs w:val="24"/>
              </w:rPr>
              <w:t>Programme f</w:t>
            </w:r>
            <w:r w:rsidR="00AF334D" w:rsidRPr="005E0C91">
              <w:rPr>
                <w:rFonts w:cs="Arial"/>
                <w:sz w:val="24"/>
                <w:szCs w:val="24"/>
              </w:rPr>
              <w:t>or 202</w:t>
            </w:r>
            <w:r w:rsidR="008A5E82" w:rsidRPr="005E0C91">
              <w:rPr>
                <w:rFonts w:cs="Arial"/>
                <w:sz w:val="24"/>
                <w:szCs w:val="24"/>
              </w:rPr>
              <w:t>4/25</w:t>
            </w:r>
            <w:r w:rsidR="00AF334D" w:rsidRPr="005E0C91">
              <w:rPr>
                <w:rFonts w:cs="Arial"/>
                <w:sz w:val="24"/>
                <w:szCs w:val="24"/>
              </w:rPr>
              <w:t xml:space="preserve"> to 202</w:t>
            </w:r>
            <w:r w:rsidR="008A5E82" w:rsidRPr="005E0C91">
              <w:rPr>
                <w:rFonts w:cs="Arial"/>
                <w:sz w:val="24"/>
                <w:szCs w:val="24"/>
              </w:rPr>
              <w:t>6/27</w:t>
            </w:r>
          </w:p>
          <w:p w14:paraId="75FE4049" w14:textId="19A13A05" w:rsidR="00105B2C" w:rsidRDefault="00105B2C" w:rsidP="00105B2C">
            <w:pPr>
              <w:pStyle w:val="Infotext"/>
              <w:rPr>
                <w:rFonts w:cs="Arial"/>
                <w:sz w:val="24"/>
                <w:szCs w:val="24"/>
              </w:rPr>
            </w:pPr>
          </w:p>
          <w:p w14:paraId="35F51C58" w14:textId="77777777" w:rsidR="00587793" w:rsidRDefault="00587793" w:rsidP="00105B2C">
            <w:pPr>
              <w:pStyle w:val="Infotext"/>
              <w:rPr>
                <w:rFonts w:cs="Arial"/>
                <w:sz w:val="24"/>
                <w:szCs w:val="24"/>
              </w:rPr>
            </w:pPr>
          </w:p>
          <w:p w14:paraId="174D1E22" w14:textId="60046B69" w:rsidR="00587793" w:rsidRPr="00587793" w:rsidRDefault="00587793" w:rsidP="00105B2C">
            <w:pPr>
              <w:pStyle w:val="Infotext"/>
              <w:rPr>
                <w:rFonts w:cs="Arial"/>
                <w:sz w:val="24"/>
                <w:szCs w:val="24"/>
              </w:rPr>
            </w:pPr>
          </w:p>
          <w:p w14:paraId="0489C0BE" w14:textId="77777777" w:rsidR="002F7710" w:rsidRPr="00587793" w:rsidRDefault="002F7710" w:rsidP="00105B2C">
            <w:pPr>
              <w:pStyle w:val="Infotext"/>
              <w:rPr>
                <w:rFonts w:cs="Arial"/>
                <w:sz w:val="24"/>
                <w:szCs w:val="24"/>
              </w:rPr>
            </w:pPr>
          </w:p>
          <w:p w14:paraId="33B3E9F4" w14:textId="77777777" w:rsidR="00E23647" w:rsidRPr="00587793" w:rsidRDefault="00E23647" w:rsidP="00105B2C">
            <w:pPr>
              <w:pStyle w:val="Infotext"/>
              <w:rPr>
                <w:rFonts w:cs="Arial"/>
                <w:sz w:val="24"/>
                <w:szCs w:val="24"/>
              </w:rPr>
            </w:pPr>
          </w:p>
          <w:p w14:paraId="18230092" w14:textId="77777777" w:rsidR="005B32A5" w:rsidRPr="00587793" w:rsidRDefault="005B32A5" w:rsidP="00105B2C">
            <w:pPr>
              <w:pStyle w:val="Infotext"/>
              <w:rPr>
                <w:rFonts w:cs="Arial"/>
                <w:sz w:val="24"/>
                <w:szCs w:val="24"/>
              </w:rPr>
            </w:pPr>
          </w:p>
          <w:p w14:paraId="11D9AD18" w14:textId="77777777" w:rsidR="005B32A5" w:rsidRPr="00587793" w:rsidRDefault="005B32A5" w:rsidP="00105B2C">
            <w:pPr>
              <w:pStyle w:val="Infotext"/>
              <w:rPr>
                <w:rFonts w:cs="Arial"/>
                <w:sz w:val="24"/>
                <w:szCs w:val="24"/>
              </w:rPr>
            </w:pPr>
          </w:p>
          <w:p w14:paraId="66D23334" w14:textId="77777777" w:rsidR="00D27997" w:rsidRPr="00587793" w:rsidRDefault="00D27997" w:rsidP="00105B2C">
            <w:pPr>
              <w:pStyle w:val="Infotext"/>
              <w:rPr>
                <w:color w:val="FF0000"/>
                <w:sz w:val="24"/>
                <w:szCs w:val="24"/>
              </w:rPr>
            </w:pPr>
          </w:p>
        </w:tc>
      </w:tr>
    </w:tbl>
    <w:p w14:paraId="7E0704AF" w14:textId="77777777" w:rsidR="00333FAA" w:rsidRDefault="00333FAA" w:rsidP="00333FAA">
      <w:pPr>
        <w:rPr>
          <w:rFonts w:cs="Arial"/>
        </w:rPr>
      </w:pPr>
    </w:p>
    <w:p w14:paraId="6E4B9B7E" w14:textId="77777777" w:rsidR="00B57442" w:rsidRDefault="00B57442" w:rsidP="00333FAA">
      <w:pPr>
        <w:rPr>
          <w:rFonts w:cs="Arial"/>
        </w:rPr>
      </w:pPr>
    </w:p>
    <w:p w14:paraId="65991C98" w14:textId="77777777" w:rsidR="00B57442" w:rsidRDefault="00B57442"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34C7AA56" w14:textId="77777777">
        <w:tc>
          <w:tcPr>
            <w:tcW w:w="8525" w:type="dxa"/>
            <w:tcBorders>
              <w:top w:val="nil"/>
              <w:left w:val="nil"/>
              <w:right w:val="nil"/>
            </w:tcBorders>
          </w:tcPr>
          <w:p w14:paraId="509BDCEF" w14:textId="77777777" w:rsidR="00333FAA" w:rsidRDefault="00333FAA" w:rsidP="00A53B04">
            <w:pPr>
              <w:pStyle w:val="Heading1"/>
            </w:pPr>
            <w:r>
              <w:lastRenderedPageBreak/>
              <w:t>Section 1 – Summary and Recommendations</w:t>
            </w:r>
          </w:p>
          <w:p w14:paraId="06779625" w14:textId="77777777" w:rsidR="00333FAA" w:rsidRDefault="00333FAA" w:rsidP="00A53B04"/>
        </w:tc>
      </w:tr>
      <w:tr w:rsidR="00333FAA" w14:paraId="58374EAF" w14:textId="77777777">
        <w:tc>
          <w:tcPr>
            <w:tcW w:w="8525" w:type="dxa"/>
          </w:tcPr>
          <w:p w14:paraId="6ADE751D" w14:textId="77777777" w:rsidR="00333FAA" w:rsidRDefault="00333FAA" w:rsidP="00A53B04"/>
          <w:p w14:paraId="733FCB80" w14:textId="39216FE2" w:rsidR="00105B2C" w:rsidRDefault="00105B2C" w:rsidP="00105B2C">
            <w:pPr>
              <w:rPr>
                <w:rFonts w:cs="Arial"/>
                <w:szCs w:val="24"/>
              </w:rPr>
            </w:pPr>
            <w:r w:rsidRPr="00830C10">
              <w:rPr>
                <w:rFonts w:cs="Arial"/>
                <w:szCs w:val="24"/>
              </w:rPr>
              <w:t>This report sets out the</w:t>
            </w:r>
            <w:r w:rsidR="00B57442">
              <w:rPr>
                <w:rFonts w:cs="Arial"/>
                <w:szCs w:val="24"/>
              </w:rPr>
              <w:t xml:space="preserve">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pro</w:t>
            </w:r>
            <w:r w:rsidR="00480886">
              <w:rPr>
                <w:rFonts w:cs="Arial"/>
                <w:szCs w:val="24"/>
              </w:rPr>
              <w:t>posals</w:t>
            </w:r>
            <w:r w:rsidR="00B57442">
              <w:rPr>
                <w:rFonts w:cs="Arial"/>
                <w:szCs w:val="24"/>
              </w:rPr>
              <w:t xml:space="preserve"> as part of the </w:t>
            </w:r>
            <w:r w:rsidR="00DE6A36">
              <w:rPr>
                <w:rFonts w:cs="Arial"/>
                <w:szCs w:val="24"/>
              </w:rPr>
              <w:t>20</w:t>
            </w:r>
            <w:r w:rsidR="0021422B">
              <w:rPr>
                <w:rFonts w:cs="Arial"/>
                <w:szCs w:val="24"/>
              </w:rPr>
              <w:t>2</w:t>
            </w:r>
            <w:r w:rsidR="00E27704">
              <w:rPr>
                <w:rFonts w:cs="Arial"/>
                <w:szCs w:val="24"/>
              </w:rPr>
              <w:t>4/25</w:t>
            </w:r>
            <w:r w:rsidR="00DE6A36">
              <w:rPr>
                <w:rFonts w:cs="Arial"/>
                <w:szCs w:val="24"/>
              </w:rPr>
              <w:t xml:space="preserve"> budget</w:t>
            </w:r>
            <w:r w:rsidR="0042315A">
              <w:rPr>
                <w:rFonts w:cs="Arial"/>
                <w:szCs w:val="24"/>
              </w:rPr>
              <w:t xml:space="preserve"> process</w:t>
            </w:r>
            <w:r w:rsidR="000232EB">
              <w:rPr>
                <w:rFonts w:cs="Arial"/>
                <w:szCs w:val="24"/>
              </w:rPr>
              <w:t>.</w:t>
            </w:r>
            <w:r w:rsidR="00DE6A36">
              <w:rPr>
                <w:rFonts w:cs="Arial"/>
                <w:szCs w:val="24"/>
              </w:rPr>
              <w:t xml:space="preserve"> </w:t>
            </w:r>
          </w:p>
          <w:p w14:paraId="52CE077E" w14:textId="4502572C" w:rsidR="00DB7535" w:rsidRDefault="00DB7535" w:rsidP="00105B2C">
            <w:pPr>
              <w:rPr>
                <w:rFonts w:cs="Arial"/>
                <w:i/>
                <w:color w:val="1F497D" w:themeColor="text2"/>
                <w:szCs w:val="24"/>
              </w:rPr>
            </w:pPr>
          </w:p>
          <w:p w14:paraId="05D70A21" w14:textId="461B7060" w:rsidR="00DB7535" w:rsidRPr="00DB7535" w:rsidRDefault="00DB7535" w:rsidP="00105B2C">
            <w:pPr>
              <w:rPr>
                <w:rFonts w:cs="Arial"/>
                <w:szCs w:val="24"/>
              </w:rPr>
            </w:pPr>
            <w:r w:rsidRPr="00DB7535">
              <w:rPr>
                <w:rFonts w:cs="Arial"/>
                <w:szCs w:val="24"/>
              </w:rPr>
              <w:t>The final version of the Capital Programme 2024/25 to 2026/27 will be brought back to Cabinet in February 2024 for recommendation to Council.</w:t>
            </w:r>
          </w:p>
          <w:p w14:paraId="716ED1FA" w14:textId="77777777" w:rsidR="00105B2C" w:rsidRPr="00830C10" w:rsidRDefault="00105B2C" w:rsidP="00105B2C">
            <w:pPr>
              <w:pStyle w:val="Heading2"/>
            </w:pPr>
          </w:p>
          <w:p w14:paraId="437A53FD" w14:textId="35F33B3D" w:rsidR="00105B2C" w:rsidRDefault="00105B2C" w:rsidP="00105B2C">
            <w:pPr>
              <w:pStyle w:val="Heading2"/>
            </w:pPr>
            <w:r w:rsidRPr="00830C10">
              <w:t xml:space="preserve">Recommendations: </w:t>
            </w:r>
          </w:p>
          <w:p w14:paraId="4F345F49" w14:textId="77777777" w:rsidR="00DB7535" w:rsidRPr="00DB7535" w:rsidRDefault="00DB7535" w:rsidP="00DB7535"/>
          <w:p w14:paraId="46F4E79A" w14:textId="4AB863B3"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 xml:space="preserve">the </w:t>
            </w:r>
            <w:r w:rsidR="00E27704">
              <w:rPr>
                <w:rFonts w:cs="Arial"/>
                <w:szCs w:val="24"/>
              </w:rPr>
              <w:t xml:space="preserve">outcomes of Capital Programme review undertaken in September 2023 </w:t>
            </w:r>
            <w:r w:rsidR="00921B96">
              <w:rPr>
                <w:rFonts w:cs="Arial"/>
                <w:szCs w:val="24"/>
              </w:rPr>
              <w:t xml:space="preserve">as detailed </w:t>
            </w:r>
            <w:r w:rsidR="00921B96" w:rsidRPr="005E0C91">
              <w:rPr>
                <w:rFonts w:cs="Arial"/>
                <w:szCs w:val="24"/>
              </w:rPr>
              <w:t xml:space="preserve">within Appendix 1, </w:t>
            </w:r>
            <w:r w:rsidR="00E27704" w:rsidRPr="005E0C91">
              <w:rPr>
                <w:rFonts w:cs="Arial"/>
                <w:szCs w:val="24"/>
              </w:rPr>
              <w:t>and the updated budget profile of capi</w:t>
            </w:r>
            <w:r w:rsidRPr="005E0C91">
              <w:rPr>
                <w:rFonts w:cs="Arial"/>
                <w:szCs w:val="24"/>
              </w:rPr>
              <w:t xml:space="preserve">tal </w:t>
            </w:r>
            <w:r w:rsidR="00AF334D" w:rsidRPr="005E0C91">
              <w:rPr>
                <w:rFonts w:cs="Arial"/>
                <w:szCs w:val="24"/>
              </w:rPr>
              <w:t>proposals</w:t>
            </w:r>
            <w:r w:rsidRPr="005E0C91">
              <w:rPr>
                <w:rFonts w:cs="Arial"/>
                <w:szCs w:val="24"/>
              </w:rPr>
              <w:t xml:space="preserve"> as detailed within Appendix </w:t>
            </w:r>
            <w:r w:rsidR="00921B96" w:rsidRPr="005E0C91">
              <w:rPr>
                <w:rFonts w:cs="Arial"/>
                <w:szCs w:val="24"/>
              </w:rPr>
              <w:t>2</w:t>
            </w:r>
            <w:r w:rsidR="005B5926" w:rsidRPr="005E0C91">
              <w:rPr>
                <w:rFonts w:cs="Arial"/>
                <w:szCs w:val="24"/>
              </w:rPr>
              <w:t>,</w:t>
            </w:r>
            <w:r w:rsidR="000D2FDD" w:rsidRPr="005E0C91">
              <w:rPr>
                <w:rFonts w:cs="Arial"/>
                <w:szCs w:val="24"/>
              </w:rPr>
              <w:t xml:space="preserve"> </w:t>
            </w:r>
            <w:r w:rsidR="009D4BC8" w:rsidRPr="005E0C91">
              <w:rPr>
                <w:rFonts w:cs="Arial"/>
                <w:szCs w:val="24"/>
              </w:rPr>
              <w:t>which will be brought back to Cabinet in February</w:t>
            </w:r>
            <w:r w:rsidR="009D4BC8">
              <w:rPr>
                <w:rFonts w:cs="Arial"/>
                <w:szCs w:val="24"/>
              </w:rPr>
              <w:t xml:space="preserve"> </w:t>
            </w:r>
            <w:r w:rsidR="00073FEA">
              <w:rPr>
                <w:rFonts w:cs="Arial"/>
                <w:szCs w:val="24"/>
              </w:rPr>
              <w:t>202</w:t>
            </w:r>
            <w:r w:rsidR="00E27704">
              <w:rPr>
                <w:rFonts w:cs="Arial"/>
                <w:szCs w:val="24"/>
              </w:rPr>
              <w:t>4</w:t>
            </w:r>
            <w:r w:rsidR="00073FEA">
              <w:rPr>
                <w:rFonts w:cs="Arial"/>
                <w:szCs w:val="24"/>
              </w:rPr>
              <w:t xml:space="preserve"> </w:t>
            </w:r>
            <w:r w:rsidR="009D4BC8">
              <w:rPr>
                <w:rFonts w:cs="Arial"/>
                <w:szCs w:val="24"/>
              </w:rPr>
              <w:t>for approval</w:t>
            </w:r>
            <w:r w:rsidR="003856CD">
              <w:rPr>
                <w:rFonts w:cs="Arial"/>
                <w:szCs w:val="24"/>
              </w:rPr>
              <w:t>.</w:t>
            </w:r>
          </w:p>
          <w:p w14:paraId="3C65DEDB" w14:textId="77777777" w:rsidR="006503B0" w:rsidRPr="000232EB" w:rsidRDefault="006503B0" w:rsidP="000232EB">
            <w:pPr>
              <w:ind w:left="360"/>
              <w:rPr>
                <w:rFonts w:cs="Arial"/>
                <w:szCs w:val="24"/>
              </w:rPr>
            </w:pPr>
          </w:p>
          <w:p w14:paraId="0216A8D7" w14:textId="77777777" w:rsidR="006D68FB" w:rsidRPr="00830C10" w:rsidRDefault="006D68FB" w:rsidP="00105B2C"/>
          <w:p w14:paraId="11D64908" w14:textId="77777777" w:rsidR="00333FAA" w:rsidRDefault="00105B2C" w:rsidP="001E570C">
            <w:pPr>
              <w:pStyle w:val="Heading2"/>
              <w:rPr>
                <w:b w:val="0"/>
                <w:sz w:val="24"/>
                <w:szCs w:val="24"/>
              </w:rPr>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E27704">
              <w:rPr>
                <w:b w:val="0"/>
                <w:sz w:val="24"/>
                <w:szCs w:val="24"/>
              </w:rPr>
              <w:t>4/25</w:t>
            </w:r>
            <w:r w:rsidRPr="00830C10">
              <w:rPr>
                <w:b w:val="0"/>
                <w:sz w:val="24"/>
                <w:szCs w:val="24"/>
              </w:rPr>
              <w:t xml:space="preserve"> </w:t>
            </w:r>
            <w:r>
              <w:rPr>
                <w:b w:val="0"/>
                <w:sz w:val="24"/>
                <w:szCs w:val="24"/>
              </w:rPr>
              <w:t>to 20</w:t>
            </w:r>
            <w:r w:rsidR="00AF334D">
              <w:rPr>
                <w:b w:val="0"/>
                <w:sz w:val="24"/>
                <w:szCs w:val="24"/>
              </w:rPr>
              <w:t>2</w:t>
            </w:r>
            <w:r w:rsidR="00E27704">
              <w:rPr>
                <w:b w:val="0"/>
                <w:sz w:val="24"/>
                <w:szCs w:val="24"/>
              </w:rPr>
              <w:t>6/27</w:t>
            </w:r>
            <w:r w:rsidR="008E2023">
              <w:rPr>
                <w:b w:val="0"/>
                <w:sz w:val="24"/>
                <w:szCs w:val="24"/>
              </w:rPr>
              <w:t>.</w:t>
            </w:r>
          </w:p>
          <w:p w14:paraId="3A57DFF3" w14:textId="6400E822" w:rsidR="00E27704" w:rsidRPr="00E27704" w:rsidRDefault="00E27704" w:rsidP="00E27704"/>
        </w:tc>
      </w:tr>
    </w:tbl>
    <w:p w14:paraId="1358C8AF" w14:textId="77777777" w:rsidR="006716D2" w:rsidRPr="00AB4880"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139957A9" w:rsidR="00105B2C" w:rsidRDefault="00105B2C" w:rsidP="00A3771B">
      <w:pPr>
        <w:jc w:val="both"/>
        <w:rPr>
          <w:rFonts w:cs="Arial"/>
          <w:b/>
          <w:szCs w:val="24"/>
        </w:rPr>
      </w:pPr>
      <w:r w:rsidRPr="000232EB">
        <w:rPr>
          <w:rFonts w:cs="Arial"/>
          <w:b/>
          <w:szCs w:val="24"/>
        </w:rPr>
        <w:t>Development of the Capital Programme</w:t>
      </w:r>
    </w:p>
    <w:p w14:paraId="7CC4AE4E" w14:textId="77777777" w:rsidR="00B2268F" w:rsidRPr="000232EB" w:rsidRDefault="00B2268F" w:rsidP="00DF28AA">
      <w:pPr>
        <w:ind w:firstLine="426"/>
        <w:jc w:val="both"/>
        <w:rPr>
          <w:rFonts w:cs="Arial"/>
          <w:b/>
          <w:szCs w:val="24"/>
        </w:rPr>
      </w:pPr>
    </w:p>
    <w:p w14:paraId="3C472EEA" w14:textId="5B45D377" w:rsidR="00E27704" w:rsidRDefault="001E570C" w:rsidP="00A3771B">
      <w:pPr>
        <w:numPr>
          <w:ilvl w:val="0"/>
          <w:numId w:val="27"/>
        </w:numPr>
        <w:tabs>
          <w:tab w:val="clear" w:pos="360"/>
          <w:tab w:val="num" w:pos="1276"/>
        </w:tabs>
        <w:spacing w:after="120"/>
        <w:ind w:left="426" w:hanging="426"/>
        <w:jc w:val="both"/>
        <w:rPr>
          <w:rFonts w:cs="Arial"/>
          <w:szCs w:val="24"/>
        </w:rPr>
      </w:pPr>
      <w:r w:rsidRPr="000232EB">
        <w:rPr>
          <w:rFonts w:cs="Arial"/>
          <w:szCs w:val="24"/>
        </w:rPr>
        <w:t xml:space="preserve">The purpose of this </w:t>
      </w:r>
      <w:r w:rsidR="00B2268F">
        <w:rPr>
          <w:rFonts w:cs="Arial"/>
          <w:szCs w:val="24"/>
        </w:rPr>
        <w:t>D</w:t>
      </w:r>
      <w:r w:rsidRPr="000232EB">
        <w:rPr>
          <w:rFonts w:cs="Arial"/>
          <w:szCs w:val="24"/>
        </w:rPr>
        <w:t>raft Capital Programme report is to set out the Council’s capital proposals for investment over the years 20</w:t>
      </w:r>
      <w:r w:rsidR="00D818F6">
        <w:rPr>
          <w:rFonts w:cs="Arial"/>
          <w:szCs w:val="24"/>
        </w:rPr>
        <w:t>2</w:t>
      </w:r>
      <w:r w:rsidR="00E27704">
        <w:rPr>
          <w:rFonts w:cs="Arial"/>
          <w:szCs w:val="24"/>
        </w:rPr>
        <w:t>4/25</w:t>
      </w:r>
      <w:r w:rsidRPr="000232EB">
        <w:rPr>
          <w:rFonts w:cs="Arial"/>
          <w:szCs w:val="24"/>
        </w:rPr>
        <w:t xml:space="preserve"> to 202</w:t>
      </w:r>
      <w:r w:rsidR="00E27704">
        <w:rPr>
          <w:rFonts w:cs="Arial"/>
          <w:szCs w:val="24"/>
        </w:rPr>
        <w:t>6/27</w:t>
      </w:r>
      <w:r w:rsidR="00743B73">
        <w:rPr>
          <w:rFonts w:cs="Arial"/>
          <w:szCs w:val="24"/>
        </w:rPr>
        <w:t>,</w:t>
      </w:r>
      <w:r w:rsidRPr="000232EB">
        <w:rPr>
          <w:rFonts w:cs="Arial"/>
          <w:szCs w:val="24"/>
        </w:rPr>
        <w:t xml:space="preserve"> which have been proposed as part of the </w:t>
      </w:r>
      <w:r w:rsidR="008A5E82">
        <w:rPr>
          <w:rFonts w:cs="Arial"/>
          <w:szCs w:val="24"/>
        </w:rPr>
        <w:t>a</w:t>
      </w:r>
      <w:r w:rsidRPr="000232EB">
        <w:rPr>
          <w:rFonts w:cs="Arial"/>
          <w:szCs w:val="24"/>
        </w:rPr>
        <w:t xml:space="preserve">nnual budget setting process. </w:t>
      </w:r>
      <w:r w:rsidR="00B2268F">
        <w:rPr>
          <w:rFonts w:cs="Arial"/>
          <w:szCs w:val="24"/>
        </w:rPr>
        <w:t>The Final Capital Programme report, which will contain new proposals</w:t>
      </w:r>
      <w:r w:rsidR="00A55246">
        <w:rPr>
          <w:rFonts w:cs="Arial"/>
          <w:szCs w:val="24"/>
        </w:rPr>
        <w:t xml:space="preserve"> (if any)</w:t>
      </w:r>
      <w:r w:rsidR="00B2268F">
        <w:rPr>
          <w:rFonts w:cs="Arial"/>
          <w:szCs w:val="24"/>
        </w:rPr>
        <w:t xml:space="preserve"> as well as the existing Capital Programme, will be presented to Cabinet in February 2024. </w:t>
      </w:r>
    </w:p>
    <w:p w14:paraId="44D0A6BC" w14:textId="77777777" w:rsidR="00B2268F" w:rsidRDefault="00B2268F" w:rsidP="00EA216C">
      <w:pPr>
        <w:ind w:left="567"/>
        <w:jc w:val="both"/>
        <w:rPr>
          <w:rFonts w:cs="Arial"/>
          <w:b/>
          <w:szCs w:val="24"/>
        </w:rPr>
      </w:pPr>
    </w:p>
    <w:p w14:paraId="08B0D745" w14:textId="205FE438" w:rsidR="002640D2" w:rsidRDefault="005867D6" w:rsidP="00A3771B">
      <w:pPr>
        <w:jc w:val="both"/>
        <w:rPr>
          <w:rFonts w:cs="Arial"/>
          <w:b/>
          <w:szCs w:val="24"/>
        </w:rPr>
      </w:pPr>
      <w:r w:rsidRPr="000C14C9">
        <w:rPr>
          <w:rFonts w:cs="Arial"/>
          <w:b/>
          <w:szCs w:val="24"/>
        </w:rPr>
        <w:t xml:space="preserve">Capital </w:t>
      </w:r>
      <w:r w:rsidR="00DE02DB">
        <w:rPr>
          <w:rFonts w:cs="Arial"/>
          <w:b/>
          <w:szCs w:val="24"/>
        </w:rPr>
        <w:t>Programme</w:t>
      </w:r>
      <w:r w:rsidRPr="000C14C9">
        <w:rPr>
          <w:rFonts w:cs="Arial"/>
          <w:b/>
          <w:szCs w:val="24"/>
        </w:rPr>
        <w:t xml:space="preserve"> </w:t>
      </w:r>
      <w:r w:rsidR="00B2268F">
        <w:rPr>
          <w:rFonts w:cs="Arial"/>
          <w:b/>
          <w:szCs w:val="24"/>
        </w:rPr>
        <w:t>Review</w:t>
      </w:r>
    </w:p>
    <w:p w14:paraId="19C2F1D1" w14:textId="77777777" w:rsidR="00B2268F" w:rsidRPr="000C14C9" w:rsidRDefault="00B2268F" w:rsidP="00DF28AA">
      <w:pPr>
        <w:ind w:left="567" w:hanging="141"/>
        <w:jc w:val="both"/>
        <w:rPr>
          <w:rFonts w:cs="Arial"/>
          <w:b/>
          <w:szCs w:val="24"/>
        </w:rPr>
      </w:pPr>
    </w:p>
    <w:p w14:paraId="1F0C06BD" w14:textId="6E387BD5" w:rsidR="00B84F94" w:rsidRDefault="00C27A68" w:rsidP="00F8491B">
      <w:pPr>
        <w:pStyle w:val="ListParagraph"/>
        <w:numPr>
          <w:ilvl w:val="0"/>
          <w:numId w:val="27"/>
        </w:numPr>
        <w:rPr>
          <w:rFonts w:cs="Arial"/>
        </w:rPr>
      </w:pPr>
      <w:r>
        <w:rPr>
          <w:rFonts w:cs="Arial"/>
        </w:rPr>
        <w:t>The Capital Programme agreed at Cabinet and Council in February 202</w:t>
      </w:r>
      <w:r w:rsidR="00B2268F">
        <w:rPr>
          <w:rFonts w:cs="Arial"/>
        </w:rPr>
        <w:t>3</w:t>
      </w:r>
      <w:r>
        <w:rPr>
          <w:rFonts w:cs="Arial"/>
        </w:rPr>
        <w:t xml:space="preserve"> included provision for capital proposals </w:t>
      </w:r>
      <w:r w:rsidR="00B2268F">
        <w:rPr>
          <w:rFonts w:cs="Arial"/>
        </w:rPr>
        <w:t>for 2023/24 to 2025/26. Although it is the intention to maintain a 3</w:t>
      </w:r>
      <w:r w:rsidR="00C820C1">
        <w:rPr>
          <w:rFonts w:cs="Arial"/>
        </w:rPr>
        <w:t>-y</w:t>
      </w:r>
      <w:r w:rsidR="00B2268F">
        <w:rPr>
          <w:rFonts w:cs="Arial"/>
        </w:rPr>
        <w:t xml:space="preserve">ear Capital Programme, it is considered that </w:t>
      </w:r>
      <w:r w:rsidR="004C6A9F">
        <w:rPr>
          <w:rFonts w:cs="Arial"/>
        </w:rPr>
        <w:t>the 3</w:t>
      </w:r>
      <w:r w:rsidR="004C6A9F" w:rsidRPr="00BD6D41">
        <w:rPr>
          <w:rFonts w:cs="Arial"/>
          <w:vertAlign w:val="superscript"/>
        </w:rPr>
        <w:t>rd</w:t>
      </w:r>
      <w:r w:rsidR="004C6A9F">
        <w:rPr>
          <w:rFonts w:cs="Arial"/>
        </w:rPr>
        <w:t xml:space="preserve"> year of the Programme, in this case </w:t>
      </w:r>
      <w:r w:rsidR="00B2268F">
        <w:rPr>
          <w:rFonts w:cs="Arial"/>
        </w:rPr>
        <w:t>2026/27</w:t>
      </w:r>
      <w:r w:rsidR="004C6A9F">
        <w:rPr>
          <w:rFonts w:cs="Arial"/>
        </w:rPr>
        <w:t>,</w:t>
      </w:r>
      <w:r w:rsidR="00B2268F">
        <w:rPr>
          <w:rFonts w:cs="Arial"/>
        </w:rPr>
        <w:t xml:space="preserve"> is </w:t>
      </w:r>
      <w:r w:rsidR="00C820C1">
        <w:rPr>
          <w:rFonts w:cs="Arial"/>
        </w:rPr>
        <w:t xml:space="preserve">too </w:t>
      </w:r>
      <w:r w:rsidR="00B2268F">
        <w:rPr>
          <w:rFonts w:cs="Arial"/>
        </w:rPr>
        <w:t>far ahead for any detailed investment proposals to be developed</w:t>
      </w:r>
      <w:r w:rsidR="00B84F94">
        <w:rPr>
          <w:rFonts w:cs="Arial"/>
        </w:rPr>
        <w:t xml:space="preserve"> </w:t>
      </w:r>
      <w:r w:rsidR="004C6A9F">
        <w:rPr>
          <w:rFonts w:cs="Arial"/>
        </w:rPr>
        <w:t xml:space="preserve">in order </w:t>
      </w:r>
      <w:r w:rsidR="00B2268F">
        <w:rPr>
          <w:rFonts w:cs="Arial"/>
        </w:rPr>
        <w:t xml:space="preserve">to provide accurate capital budget estimates. In addition, </w:t>
      </w:r>
      <w:r w:rsidR="00B84F94">
        <w:rPr>
          <w:rFonts w:cs="Arial"/>
        </w:rPr>
        <w:t xml:space="preserve">the capital financing costs arising from 2026/27 capital proposals will not be incurred until 2027/28 which falls outside </w:t>
      </w:r>
      <w:r w:rsidR="00F65F7B">
        <w:rPr>
          <w:rFonts w:cs="Arial"/>
        </w:rPr>
        <w:t xml:space="preserve">the period </w:t>
      </w:r>
      <w:r w:rsidR="00B84F94">
        <w:rPr>
          <w:rFonts w:cs="Arial"/>
        </w:rPr>
        <w:t xml:space="preserve">of the 2024/25 Medium Term Financial Strategy (MTFS). </w:t>
      </w:r>
      <w:r w:rsidR="00B2268F">
        <w:rPr>
          <w:rFonts w:cs="Arial"/>
        </w:rPr>
        <w:t xml:space="preserve"> </w:t>
      </w:r>
    </w:p>
    <w:p w14:paraId="4B48CE0D" w14:textId="77777777" w:rsidR="00B84F94" w:rsidRDefault="00B84F94" w:rsidP="00B84F94">
      <w:pPr>
        <w:pStyle w:val="ListParagraph"/>
        <w:ind w:left="360"/>
        <w:rPr>
          <w:rFonts w:cs="Arial"/>
        </w:rPr>
      </w:pPr>
    </w:p>
    <w:p w14:paraId="3E5032AD" w14:textId="7D9EA93E" w:rsidR="00B84F94" w:rsidRDefault="00B84F94" w:rsidP="00F8491B">
      <w:pPr>
        <w:pStyle w:val="ListParagraph"/>
        <w:numPr>
          <w:ilvl w:val="0"/>
          <w:numId w:val="27"/>
        </w:numPr>
        <w:rPr>
          <w:rFonts w:cs="Arial"/>
        </w:rPr>
      </w:pPr>
      <w:r>
        <w:rPr>
          <w:rFonts w:cs="Arial"/>
        </w:rPr>
        <w:t xml:space="preserve">Historical performances of the Capital Programme suggest that, on average, </w:t>
      </w:r>
      <w:r w:rsidR="008D309A" w:rsidRPr="008D309A">
        <w:rPr>
          <w:rFonts w:cs="Arial"/>
        </w:rPr>
        <w:t>32</w:t>
      </w:r>
      <w:r w:rsidRPr="008D309A">
        <w:rPr>
          <w:rFonts w:cs="Arial"/>
        </w:rPr>
        <w:t>%</w:t>
      </w:r>
      <w:r>
        <w:rPr>
          <w:rFonts w:cs="Arial"/>
        </w:rPr>
        <w:t xml:space="preserve"> of the capital budget </w:t>
      </w:r>
      <w:r w:rsidR="008D309A">
        <w:rPr>
          <w:rFonts w:cs="Arial"/>
        </w:rPr>
        <w:t>was</w:t>
      </w:r>
      <w:r>
        <w:rPr>
          <w:rFonts w:cs="Arial"/>
        </w:rPr>
        <w:t xml:space="preserve"> spent each year</w:t>
      </w:r>
      <w:r w:rsidR="008D309A">
        <w:rPr>
          <w:rFonts w:cs="Arial"/>
        </w:rPr>
        <w:t xml:space="preserve"> in 2021/22 and 2022/23</w:t>
      </w:r>
      <w:r>
        <w:rPr>
          <w:rFonts w:cs="Arial"/>
        </w:rPr>
        <w:t xml:space="preserve">, resulting in a significant sum </w:t>
      </w:r>
      <w:r w:rsidR="00F65F7B">
        <w:rPr>
          <w:rFonts w:cs="Arial"/>
        </w:rPr>
        <w:t xml:space="preserve">being </w:t>
      </w:r>
      <w:r>
        <w:rPr>
          <w:rFonts w:cs="Arial"/>
        </w:rPr>
        <w:t xml:space="preserve">shown as slippage into the following financial year at outturn. </w:t>
      </w:r>
    </w:p>
    <w:p w14:paraId="672F7E64" w14:textId="265B3511" w:rsidR="00F65F7B" w:rsidRDefault="00F65F7B" w:rsidP="00F65F7B">
      <w:pPr>
        <w:pStyle w:val="ListParagraph"/>
        <w:rPr>
          <w:rFonts w:cs="Arial"/>
        </w:rPr>
      </w:pPr>
    </w:p>
    <w:p w14:paraId="140F83F4" w14:textId="77777777" w:rsidR="00DB7535" w:rsidRPr="00F65F7B" w:rsidRDefault="00DB7535" w:rsidP="00F65F7B">
      <w:pPr>
        <w:pStyle w:val="ListParagraph"/>
        <w:rPr>
          <w:rFonts w:cs="Arial"/>
        </w:rPr>
      </w:pPr>
    </w:p>
    <w:p w14:paraId="56BBED1E" w14:textId="40295C9D" w:rsidR="00A3771B" w:rsidRPr="00A3771B" w:rsidRDefault="00F65F7B" w:rsidP="00A3771B">
      <w:pPr>
        <w:pStyle w:val="ListParagraph"/>
        <w:numPr>
          <w:ilvl w:val="0"/>
          <w:numId w:val="27"/>
        </w:numPr>
        <w:rPr>
          <w:rFonts w:cs="Arial"/>
        </w:rPr>
      </w:pPr>
      <w:r>
        <w:rPr>
          <w:rFonts w:cs="Arial"/>
        </w:rPr>
        <w:lastRenderedPageBreak/>
        <w:t xml:space="preserve">Given the financial challenges in the current MTFS and in-year revenue budget position, if any </w:t>
      </w:r>
      <w:r w:rsidR="007E0D26">
        <w:rPr>
          <w:rFonts w:cs="Arial"/>
        </w:rPr>
        <w:t xml:space="preserve">eligible </w:t>
      </w:r>
      <w:r>
        <w:rPr>
          <w:rFonts w:cs="Arial"/>
        </w:rPr>
        <w:t xml:space="preserve">projects currently funded from borrowing in the existing Capital Programme could be substituted by </w:t>
      </w:r>
      <w:r w:rsidR="000F5A50">
        <w:rPr>
          <w:rFonts w:cs="Arial"/>
        </w:rPr>
        <w:t>Borough Community Infrastructure Levy (</w:t>
      </w:r>
      <w:r>
        <w:rPr>
          <w:rFonts w:cs="Arial"/>
        </w:rPr>
        <w:t>BCIL</w:t>
      </w:r>
      <w:r w:rsidR="000F5A50">
        <w:rPr>
          <w:rFonts w:cs="Arial"/>
        </w:rPr>
        <w:t>)</w:t>
      </w:r>
      <w:r>
        <w:rPr>
          <w:rFonts w:cs="Arial"/>
        </w:rPr>
        <w:t xml:space="preserve"> funding, it </w:t>
      </w:r>
      <w:r w:rsidRPr="003314B4">
        <w:rPr>
          <w:rFonts w:cs="Arial"/>
          <w:szCs w:val="24"/>
        </w:rPr>
        <w:t>would then lead to a reduction in borrowing costs</w:t>
      </w:r>
      <w:r>
        <w:rPr>
          <w:rFonts w:cs="Arial"/>
          <w:szCs w:val="24"/>
        </w:rPr>
        <w:t>.</w:t>
      </w:r>
    </w:p>
    <w:p w14:paraId="25B4EA2B" w14:textId="77777777" w:rsidR="00B84F94" w:rsidRPr="00B84F94" w:rsidRDefault="00B84F94" w:rsidP="00B84F94">
      <w:pPr>
        <w:pStyle w:val="ListParagraph"/>
        <w:rPr>
          <w:rFonts w:cs="Arial"/>
        </w:rPr>
      </w:pPr>
    </w:p>
    <w:p w14:paraId="3A0D1FDD" w14:textId="5BF74B1B" w:rsidR="002548EE" w:rsidRPr="006B01F5" w:rsidRDefault="00E375A9" w:rsidP="006B01F5">
      <w:pPr>
        <w:pStyle w:val="ListParagraph"/>
        <w:numPr>
          <w:ilvl w:val="0"/>
          <w:numId w:val="27"/>
        </w:numPr>
        <w:rPr>
          <w:rFonts w:cs="Arial"/>
        </w:rPr>
      </w:pPr>
      <w:r>
        <w:rPr>
          <w:rFonts w:cs="Arial"/>
        </w:rPr>
        <w:t>Considering</w:t>
      </w:r>
      <w:r w:rsidR="00A66DD8">
        <w:rPr>
          <w:rFonts w:cs="Arial"/>
        </w:rPr>
        <w:t xml:space="preserve"> </w:t>
      </w:r>
      <w:r w:rsidR="00F65F7B">
        <w:rPr>
          <w:rFonts w:cs="Arial"/>
        </w:rPr>
        <w:t xml:space="preserve">all </w:t>
      </w:r>
      <w:r w:rsidR="008A5E82">
        <w:rPr>
          <w:rFonts w:cs="Arial"/>
        </w:rPr>
        <w:t xml:space="preserve">of </w:t>
      </w:r>
      <w:r w:rsidR="00A66DD8">
        <w:rPr>
          <w:rFonts w:cs="Arial"/>
        </w:rPr>
        <w:t>the above, a review o</w:t>
      </w:r>
      <w:r w:rsidR="00F65F7B">
        <w:rPr>
          <w:rFonts w:cs="Arial"/>
        </w:rPr>
        <w:t>f</w:t>
      </w:r>
      <w:r w:rsidR="00A66DD8">
        <w:rPr>
          <w:rFonts w:cs="Arial"/>
        </w:rPr>
        <w:t xml:space="preserve"> the current Capital Programme was undertaken in September 2023 to understand project progress and to re-profile the budget</w:t>
      </w:r>
      <w:r w:rsidR="00062F0A">
        <w:rPr>
          <w:rFonts w:cs="Arial"/>
        </w:rPr>
        <w:t>,</w:t>
      </w:r>
      <w:r w:rsidR="00A66DD8">
        <w:rPr>
          <w:rFonts w:cs="Arial"/>
        </w:rPr>
        <w:t xml:space="preserve"> where applicable</w:t>
      </w:r>
      <w:r w:rsidR="00062F0A">
        <w:rPr>
          <w:rFonts w:cs="Arial"/>
        </w:rPr>
        <w:t>,</w:t>
      </w:r>
      <w:r w:rsidR="00A66DD8">
        <w:rPr>
          <w:rFonts w:cs="Arial"/>
        </w:rPr>
        <w:t xml:space="preserve"> to </w:t>
      </w:r>
      <w:r w:rsidR="002548EE">
        <w:rPr>
          <w:rFonts w:cs="Arial"/>
        </w:rPr>
        <w:t xml:space="preserve">better </w:t>
      </w:r>
      <w:r w:rsidR="00A66DD8">
        <w:rPr>
          <w:rFonts w:cs="Arial"/>
        </w:rPr>
        <w:t>reflect</w:t>
      </w:r>
      <w:r w:rsidR="00A66DD8" w:rsidRPr="006B01F5">
        <w:rPr>
          <w:rFonts w:cs="Arial"/>
        </w:rPr>
        <w:t xml:space="preserve"> </w:t>
      </w:r>
      <w:r w:rsidR="00F65F7B">
        <w:rPr>
          <w:rFonts w:cs="Arial"/>
        </w:rPr>
        <w:t xml:space="preserve">the timeline of </w:t>
      </w:r>
      <w:r w:rsidR="00A66DD8" w:rsidRPr="006B01F5">
        <w:rPr>
          <w:rFonts w:cs="Arial"/>
        </w:rPr>
        <w:t>delivery plan</w:t>
      </w:r>
      <w:r w:rsidR="006B01F5" w:rsidRPr="006B01F5">
        <w:rPr>
          <w:rFonts w:cs="Arial"/>
        </w:rPr>
        <w:t>s</w:t>
      </w:r>
      <w:r w:rsidR="00A66DD8" w:rsidRPr="006B01F5">
        <w:rPr>
          <w:rFonts w:cs="Arial"/>
        </w:rPr>
        <w:t xml:space="preserve">. </w:t>
      </w:r>
      <w:r w:rsidR="00945C75">
        <w:rPr>
          <w:rFonts w:cs="Arial"/>
        </w:rPr>
        <w:t>The review also included an assessment</w:t>
      </w:r>
      <w:r w:rsidR="00C820C1">
        <w:rPr>
          <w:rFonts w:cs="Arial"/>
        </w:rPr>
        <w:t xml:space="preserve"> on individual projects</w:t>
      </w:r>
      <w:r w:rsidR="00945C75">
        <w:rPr>
          <w:rFonts w:cs="Arial"/>
        </w:rPr>
        <w:t xml:space="preserve"> against BCIL funding criteria to confirm </w:t>
      </w:r>
      <w:r w:rsidR="00C820C1">
        <w:rPr>
          <w:rFonts w:cs="Arial"/>
        </w:rPr>
        <w:t>any</w:t>
      </w:r>
      <w:r w:rsidR="00945C75">
        <w:rPr>
          <w:rFonts w:cs="Arial"/>
        </w:rPr>
        <w:t xml:space="preserve"> opportunity of funding substitution to reduce borrowing requirements.</w:t>
      </w:r>
    </w:p>
    <w:p w14:paraId="248C3954" w14:textId="77777777" w:rsidR="002548EE" w:rsidRPr="002548EE" w:rsidRDefault="002548EE" w:rsidP="002548EE">
      <w:pPr>
        <w:pStyle w:val="ListParagraph"/>
        <w:rPr>
          <w:rFonts w:cs="Arial"/>
        </w:rPr>
      </w:pPr>
    </w:p>
    <w:p w14:paraId="039F97BD" w14:textId="581BF45C" w:rsidR="002548EE" w:rsidRDefault="002548EE" w:rsidP="00F8491B">
      <w:pPr>
        <w:pStyle w:val="ListParagraph"/>
        <w:numPr>
          <w:ilvl w:val="0"/>
          <w:numId w:val="27"/>
        </w:numPr>
        <w:rPr>
          <w:rFonts w:cs="Arial"/>
        </w:rPr>
      </w:pPr>
      <w:r>
        <w:rPr>
          <w:rFonts w:cs="Arial"/>
        </w:rPr>
        <w:t>The outcome</w:t>
      </w:r>
      <w:r w:rsidR="008A5E82">
        <w:rPr>
          <w:rFonts w:cs="Arial"/>
        </w:rPr>
        <w:t>s</w:t>
      </w:r>
      <w:r>
        <w:rPr>
          <w:rFonts w:cs="Arial"/>
        </w:rPr>
        <w:t xml:space="preserve"> of the review </w:t>
      </w:r>
      <w:r w:rsidR="008A5E82">
        <w:rPr>
          <w:rFonts w:cs="Arial"/>
        </w:rPr>
        <w:t>are summarised</w:t>
      </w:r>
      <w:r w:rsidR="00F65F7B">
        <w:rPr>
          <w:rFonts w:cs="Arial"/>
        </w:rPr>
        <w:t xml:space="preserve"> below</w:t>
      </w:r>
      <w:r>
        <w:rPr>
          <w:rFonts w:cs="Arial"/>
        </w:rPr>
        <w:t>.</w:t>
      </w:r>
    </w:p>
    <w:p w14:paraId="3DA13C43" w14:textId="77777777" w:rsidR="002548EE" w:rsidRPr="002548EE" w:rsidRDefault="002548EE" w:rsidP="002548EE">
      <w:pPr>
        <w:pStyle w:val="ListParagraph"/>
        <w:rPr>
          <w:rFonts w:cs="Arial"/>
        </w:rPr>
      </w:pPr>
    </w:p>
    <w:p w14:paraId="1588D6B3" w14:textId="344B26E3" w:rsidR="002548EE" w:rsidRDefault="002548EE" w:rsidP="002548EE">
      <w:pPr>
        <w:pStyle w:val="ListParagraph"/>
        <w:numPr>
          <w:ilvl w:val="0"/>
          <w:numId w:val="59"/>
        </w:numPr>
        <w:rPr>
          <w:rFonts w:cs="Arial"/>
        </w:rPr>
      </w:pPr>
      <w:r>
        <w:rPr>
          <w:rFonts w:cs="Arial"/>
        </w:rPr>
        <w:t xml:space="preserve">Due to delays, a number of projects will not spend to budget in 2023/24 and therefore a budget slippage is expected. More details of these are included in a separate report (Q2 budget monitoring report) at </w:t>
      </w:r>
      <w:r w:rsidR="00155D08">
        <w:rPr>
          <w:rFonts w:cs="Arial"/>
        </w:rPr>
        <w:t xml:space="preserve">this </w:t>
      </w:r>
      <w:r>
        <w:rPr>
          <w:rFonts w:cs="Arial"/>
        </w:rPr>
        <w:t xml:space="preserve">Cabinet meeting. Where the project is in a rolling programme (i.e. a budget is provided in each financial year of the Capital Programme), the budget slippage will also have </w:t>
      </w:r>
      <w:r w:rsidR="008A5E82">
        <w:rPr>
          <w:rFonts w:cs="Arial"/>
        </w:rPr>
        <w:t xml:space="preserve">a </w:t>
      </w:r>
      <w:r>
        <w:rPr>
          <w:rFonts w:cs="Arial"/>
        </w:rPr>
        <w:t>knock-on effect on future years whereby some budgets are to be slipped into 2026/27 which is outside of the current Capital Programme.</w:t>
      </w:r>
    </w:p>
    <w:p w14:paraId="6A2EBCB1" w14:textId="77777777" w:rsidR="002548EE" w:rsidRDefault="002548EE" w:rsidP="002548EE">
      <w:pPr>
        <w:pStyle w:val="ListParagraph"/>
        <w:rPr>
          <w:rFonts w:cs="Arial"/>
        </w:rPr>
      </w:pPr>
    </w:p>
    <w:p w14:paraId="5F5E6A15" w14:textId="749982A8" w:rsidR="002548EE" w:rsidRDefault="00062F0A" w:rsidP="002548EE">
      <w:pPr>
        <w:pStyle w:val="ListParagraph"/>
        <w:numPr>
          <w:ilvl w:val="0"/>
          <w:numId w:val="59"/>
        </w:numPr>
        <w:rPr>
          <w:rFonts w:cs="Arial"/>
        </w:rPr>
      </w:pPr>
      <w:r>
        <w:rPr>
          <w:rFonts w:cs="Arial"/>
        </w:rPr>
        <w:t xml:space="preserve">For some projects, due to the change in delivery plans, </w:t>
      </w:r>
      <w:r w:rsidR="0089462D">
        <w:rPr>
          <w:rFonts w:cs="Arial"/>
        </w:rPr>
        <w:t>some of</w:t>
      </w:r>
      <w:r>
        <w:rPr>
          <w:rFonts w:cs="Arial"/>
        </w:rPr>
        <w:t xml:space="preserve"> the budget in the current Capital Programme is</w:t>
      </w:r>
      <w:r w:rsidR="0089462D">
        <w:rPr>
          <w:rFonts w:cs="Arial"/>
        </w:rPr>
        <w:t xml:space="preserve"> no longer</w:t>
      </w:r>
      <w:r>
        <w:rPr>
          <w:rFonts w:cs="Arial"/>
        </w:rPr>
        <w:t xml:space="preserve"> required. This is primarily a result of capital budgets being set 3 years in advance and no detailed proposal </w:t>
      </w:r>
      <w:r w:rsidR="000F5A50">
        <w:rPr>
          <w:rFonts w:cs="Arial"/>
        </w:rPr>
        <w:t>was</w:t>
      </w:r>
      <w:r>
        <w:rPr>
          <w:rFonts w:cs="Arial"/>
        </w:rPr>
        <w:t xml:space="preserve"> available at the time of capital bid to confirm </w:t>
      </w:r>
      <w:r w:rsidR="0089462D">
        <w:rPr>
          <w:rFonts w:cs="Arial"/>
        </w:rPr>
        <w:t xml:space="preserve">the exact </w:t>
      </w:r>
      <w:r>
        <w:rPr>
          <w:rFonts w:cs="Arial"/>
        </w:rPr>
        <w:t>capital budget requirements.</w:t>
      </w:r>
    </w:p>
    <w:p w14:paraId="0DB66848" w14:textId="77777777" w:rsidR="00945C75" w:rsidRPr="00945C75" w:rsidRDefault="00945C75" w:rsidP="00945C75">
      <w:pPr>
        <w:pStyle w:val="ListParagraph"/>
        <w:rPr>
          <w:rFonts w:cs="Arial"/>
        </w:rPr>
      </w:pPr>
    </w:p>
    <w:p w14:paraId="199895C5" w14:textId="17988484" w:rsidR="00945C75" w:rsidRDefault="00A13BFA" w:rsidP="002548EE">
      <w:pPr>
        <w:pStyle w:val="ListParagraph"/>
        <w:numPr>
          <w:ilvl w:val="0"/>
          <w:numId w:val="59"/>
        </w:numPr>
        <w:rPr>
          <w:rFonts w:cs="Arial"/>
        </w:rPr>
      </w:pPr>
      <w:r>
        <w:rPr>
          <w:rFonts w:cs="Arial"/>
        </w:rPr>
        <w:t xml:space="preserve">No change to the funding sources </w:t>
      </w:r>
      <w:r w:rsidR="004C6A9F">
        <w:rPr>
          <w:rFonts w:cs="Arial"/>
        </w:rPr>
        <w:t xml:space="preserve">has been identified in the </w:t>
      </w:r>
      <w:r>
        <w:rPr>
          <w:rFonts w:cs="Arial"/>
        </w:rPr>
        <w:t>current Capital Programme</w:t>
      </w:r>
      <w:r w:rsidR="007E0D26">
        <w:rPr>
          <w:rFonts w:cs="Arial"/>
        </w:rPr>
        <w:t xml:space="preserve"> as all projects that are eligible for BCIL funding have already had allocations</w:t>
      </w:r>
      <w:r>
        <w:rPr>
          <w:rFonts w:cs="Arial"/>
        </w:rPr>
        <w:t xml:space="preserve">. Projects currently funded from borrowing </w:t>
      </w:r>
      <w:r w:rsidR="00EE1D57">
        <w:rPr>
          <w:rFonts w:cs="Arial"/>
        </w:rPr>
        <w:t xml:space="preserve">have been reviewed and are confirmed </w:t>
      </w:r>
      <w:r>
        <w:rPr>
          <w:rFonts w:cs="Arial"/>
        </w:rPr>
        <w:t xml:space="preserve">not </w:t>
      </w:r>
      <w:r w:rsidR="00EE1D57">
        <w:rPr>
          <w:rFonts w:cs="Arial"/>
        </w:rPr>
        <w:t xml:space="preserve">being </w:t>
      </w:r>
      <w:r>
        <w:rPr>
          <w:rFonts w:cs="Arial"/>
        </w:rPr>
        <w:t>eligible for BCIL funding.</w:t>
      </w:r>
    </w:p>
    <w:p w14:paraId="3DF037A5" w14:textId="77777777" w:rsidR="00062F0A" w:rsidRPr="00062F0A" w:rsidRDefault="00062F0A" w:rsidP="00062F0A">
      <w:pPr>
        <w:pStyle w:val="ListParagraph"/>
        <w:rPr>
          <w:rFonts w:cs="Arial"/>
        </w:rPr>
      </w:pPr>
    </w:p>
    <w:p w14:paraId="1B982E6C" w14:textId="7FBD9071" w:rsidR="00BB4D96" w:rsidRPr="00DB7535" w:rsidRDefault="00105058" w:rsidP="00DB7535">
      <w:pPr>
        <w:pStyle w:val="ListParagraph"/>
        <w:numPr>
          <w:ilvl w:val="0"/>
          <w:numId w:val="27"/>
        </w:numPr>
        <w:rPr>
          <w:rFonts w:cs="Arial"/>
        </w:rPr>
      </w:pPr>
      <w:r>
        <w:rPr>
          <w:rFonts w:cs="Arial"/>
        </w:rPr>
        <w:t xml:space="preserve">The Draft Capital Programme is therefore prepared by refreshing the current </w:t>
      </w:r>
      <w:r w:rsidR="004C6A9F">
        <w:rPr>
          <w:rFonts w:cs="Arial"/>
        </w:rPr>
        <w:t xml:space="preserve">Programme and </w:t>
      </w:r>
      <w:r>
        <w:rPr>
          <w:rFonts w:cs="Arial"/>
        </w:rPr>
        <w:t>re-profil</w:t>
      </w:r>
      <w:r w:rsidR="004C6A9F">
        <w:rPr>
          <w:rFonts w:cs="Arial"/>
        </w:rPr>
        <w:t xml:space="preserve">ing budget </w:t>
      </w:r>
      <w:r>
        <w:rPr>
          <w:rFonts w:cs="Arial"/>
        </w:rPr>
        <w:t xml:space="preserve">into 2026/27 </w:t>
      </w:r>
      <w:r w:rsidR="004C6A9F">
        <w:rPr>
          <w:rFonts w:cs="Arial"/>
        </w:rPr>
        <w:t>(</w:t>
      </w:r>
      <w:r>
        <w:rPr>
          <w:rFonts w:cs="Arial"/>
        </w:rPr>
        <w:t>where applicable</w:t>
      </w:r>
      <w:r w:rsidR="004C6A9F">
        <w:rPr>
          <w:rFonts w:cs="Arial"/>
        </w:rPr>
        <w:t>)</w:t>
      </w:r>
      <w:r>
        <w:rPr>
          <w:rFonts w:cs="Arial"/>
        </w:rPr>
        <w:t>, to form a 3</w:t>
      </w:r>
      <w:r w:rsidR="000F5A50">
        <w:rPr>
          <w:rFonts w:cs="Arial"/>
        </w:rPr>
        <w:t>-</w:t>
      </w:r>
      <w:r>
        <w:rPr>
          <w:rFonts w:cs="Arial"/>
        </w:rPr>
        <w:t xml:space="preserve">year Capital Programme in the MTFS. </w:t>
      </w:r>
      <w:r w:rsidR="00A80D13">
        <w:rPr>
          <w:rFonts w:cs="Arial"/>
        </w:rPr>
        <w:t>Th</w:t>
      </w:r>
      <w:r w:rsidR="00947676">
        <w:rPr>
          <w:rFonts w:cs="Arial"/>
        </w:rPr>
        <w:t>e</w:t>
      </w:r>
      <w:r w:rsidR="00921B96">
        <w:rPr>
          <w:rFonts w:cs="Arial"/>
        </w:rPr>
        <w:t xml:space="preserve"> Capital Programme Review summary is provided </w:t>
      </w:r>
      <w:r w:rsidR="00921B96" w:rsidRPr="005E0C91">
        <w:rPr>
          <w:rFonts w:cs="Arial"/>
        </w:rPr>
        <w:t>in Appendix 1, and the</w:t>
      </w:r>
      <w:r w:rsidR="00947676" w:rsidRPr="005E0C91">
        <w:rPr>
          <w:rFonts w:cs="Arial"/>
        </w:rPr>
        <w:t xml:space="preserve"> Draft Capital Programme</w:t>
      </w:r>
      <w:r w:rsidR="00A80D13" w:rsidRPr="005E0C91">
        <w:rPr>
          <w:rFonts w:cs="Arial"/>
        </w:rPr>
        <w:t xml:space="preserve"> is detailed in Appendix </w:t>
      </w:r>
      <w:r w:rsidR="00921B96" w:rsidRPr="005E0C91">
        <w:rPr>
          <w:rFonts w:cs="Arial"/>
        </w:rPr>
        <w:t>2</w:t>
      </w:r>
      <w:r w:rsidR="00A80D13" w:rsidRPr="005E0C91">
        <w:rPr>
          <w:rFonts w:cs="Arial"/>
        </w:rPr>
        <w:t>.</w:t>
      </w:r>
    </w:p>
    <w:p w14:paraId="41E4350B" w14:textId="77777777" w:rsidR="002A3A74" w:rsidRPr="00941485" w:rsidRDefault="002A3A74" w:rsidP="00CB16F2">
      <w:pPr>
        <w:pStyle w:val="ListParagraph"/>
        <w:ind w:left="360"/>
        <w:jc w:val="both"/>
        <w:rPr>
          <w:rFonts w:cs="Arial"/>
          <w:szCs w:val="24"/>
        </w:rPr>
      </w:pPr>
    </w:p>
    <w:p w14:paraId="157E8409" w14:textId="213B0A2C" w:rsidR="00B67C31" w:rsidRDefault="00B67C31" w:rsidP="00A3771B">
      <w:pPr>
        <w:tabs>
          <w:tab w:val="num" w:pos="1985"/>
        </w:tabs>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w:t>
      </w:r>
      <w:r w:rsidR="00BB4D96">
        <w:rPr>
          <w:rFonts w:cs="Arial"/>
          <w:b/>
          <w:szCs w:val="24"/>
        </w:rPr>
        <w:t>Draft</w:t>
      </w:r>
      <w:r w:rsidR="005C2534">
        <w:rPr>
          <w:rFonts w:cs="Arial"/>
          <w:b/>
          <w:szCs w:val="24"/>
        </w:rPr>
        <w:t xml:space="preserve"> </w:t>
      </w:r>
      <w:r w:rsidRPr="00A26B10">
        <w:rPr>
          <w:rFonts w:cs="Arial"/>
          <w:b/>
          <w:szCs w:val="24"/>
        </w:rPr>
        <w:t>Capital Prog</w:t>
      </w:r>
      <w:r w:rsidR="00480886">
        <w:rPr>
          <w:rFonts w:cs="Arial"/>
          <w:b/>
          <w:szCs w:val="24"/>
        </w:rPr>
        <w:t xml:space="preserve">ramme </w:t>
      </w:r>
    </w:p>
    <w:p w14:paraId="0825D8C6" w14:textId="77777777" w:rsidR="00754987" w:rsidRDefault="00754987" w:rsidP="00A26B10">
      <w:pPr>
        <w:tabs>
          <w:tab w:val="num" w:pos="1985"/>
        </w:tabs>
        <w:ind w:left="567"/>
        <w:jc w:val="both"/>
        <w:rPr>
          <w:rFonts w:cs="Arial"/>
          <w:b/>
          <w:szCs w:val="24"/>
        </w:rPr>
      </w:pPr>
    </w:p>
    <w:p w14:paraId="319C0ADD" w14:textId="3245D2A7" w:rsidR="00B4747A" w:rsidRDefault="002F7710"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w:t>
      </w:r>
      <w:r w:rsidR="00D46C18">
        <w:rPr>
          <w:rFonts w:cs="Arial"/>
          <w:szCs w:val="24"/>
        </w:rPr>
        <w:t xml:space="preserve">Capital Programme can be funded from a variety of </w:t>
      </w:r>
      <w:r w:rsidR="00D818F6">
        <w:rPr>
          <w:rFonts w:cs="Arial"/>
          <w:szCs w:val="24"/>
        </w:rPr>
        <w:t xml:space="preserve">funding </w:t>
      </w:r>
      <w:r w:rsidR="00D46C18">
        <w:rPr>
          <w:rFonts w:cs="Arial"/>
          <w:szCs w:val="24"/>
        </w:rPr>
        <w:t>sources</w:t>
      </w:r>
      <w:r w:rsidR="00D818F6">
        <w:rPr>
          <w:rFonts w:cs="Arial"/>
          <w:szCs w:val="24"/>
        </w:rPr>
        <w:t xml:space="preserve">.  </w:t>
      </w:r>
      <w:r w:rsidR="00073FEA">
        <w:rPr>
          <w:rFonts w:cs="Arial"/>
          <w:szCs w:val="24"/>
        </w:rPr>
        <w:t>Where the Capital P</w:t>
      </w:r>
      <w:r w:rsidR="00D818F6" w:rsidRPr="00073FEA">
        <w:rPr>
          <w:rFonts w:cs="Arial"/>
          <w:szCs w:val="24"/>
        </w:rPr>
        <w:t xml:space="preserve">rogramme </w:t>
      </w:r>
      <w:r w:rsidR="00073FEA">
        <w:rPr>
          <w:rFonts w:cs="Arial"/>
          <w:szCs w:val="24"/>
        </w:rPr>
        <w:t xml:space="preserve">is funded </w:t>
      </w:r>
      <w:r w:rsidR="00D818F6" w:rsidRPr="00073FEA">
        <w:rPr>
          <w:rFonts w:cs="Arial"/>
          <w:szCs w:val="24"/>
        </w:rPr>
        <w:t xml:space="preserve">from </w:t>
      </w:r>
      <w:r w:rsidR="00D46C18" w:rsidRPr="00073FEA">
        <w:rPr>
          <w:rFonts w:cs="Arial"/>
          <w:szCs w:val="24"/>
        </w:rPr>
        <w:t xml:space="preserve">capital grants, </w:t>
      </w:r>
      <w:r w:rsidR="00D818F6" w:rsidRPr="00073FEA">
        <w:rPr>
          <w:rFonts w:cs="Arial"/>
          <w:szCs w:val="24"/>
        </w:rPr>
        <w:t>external partnership funding, BCI</w:t>
      </w:r>
      <w:r w:rsidR="00650CB4" w:rsidRPr="00073FEA">
        <w:rPr>
          <w:rFonts w:cs="Arial"/>
          <w:szCs w:val="24"/>
        </w:rPr>
        <w:t>L</w:t>
      </w:r>
      <w:r w:rsidR="00D818F6" w:rsidRPr="00073FEA">
        <w:rPr>
          <w:rFonts w:cs="Arial"/>
          <w:szCs w:val="24"/>
        </w:rPr>
        <w:t xml:space="preserve"> and revenue funding such as reserves</w:t>
      </w:r>
      <w:r w:rsidR="00073FEA">
        <w:rPr>
          <w:rFonts w:cs="Arial"/>
          <w:szCs w:val="24"/>
        </w:rPr>
        <w:t xml:space="preserve">; this will </w:t>
      </w:r>
      <w:r w:rsidR="00D818F6" w:rsidRPr="00073FEA">
        <w:rPr>
          <w:rFonts w:cs="Arial"/>
          <w:szCs w:val="24"/>
        </w:rPr>
        <w:t xml:space="preserve">not attract any form of capital financing cost and has no impact on the revenue budget.  </w:t>
      </w:r>
      <w:r w:rsidR="00DE02DB" w:rsidRPr="00073FEA">
        <w:rPr>
          <w:rFonts w:cs="Arial"/>
          <w:szCs w:val="24"/>
        </w:rPr>
        <w:t>S</w:t>
      </w:r>
      <w:r w:rsidR="00D818F6" w:rsidRPr="00073FEA">
        <w:rPr>
          <w:rFonts w:cs="Arial"/>
          <w:szCs w:val="24"/>
        </w:rPr>
        <w:t>chemes funded from borrowing</w:t>
      </w:r>
      <w:r w:rsidR="00DE02DB" w:rsidRPr="00073FEA">
        <w:rPr>
          <w:rFonts w:cs="Arial"/>
          <w:szCs w:val="24"/>
        </w:rPr>
        <w:t xml:space="preserve"> </w:t>
      </w:r>
      <w:r w:rsidR="00D818F6" w:rsidRPr="00073FEA">
        <w:rPr>
          <w:rFonts w:cs="Arial"/>
          <w:szCs w:val="24"/>
        </w:rPr>
        <w:t>will attract a capital financing cost and therefore a direct impact on the revenue budget.</w:t>
      </w:r>
    </w:p>
    <w:p w14:paraId="3BAF0E2F" w14:textId="45BFFFC9" w:rsidR="00DB7535" w:rsidRDefault="00DB7535" w:rsidP="00DB7535">
      <w:pPr>
        <w:tabs>
          <w:tab w:val="num" w:pos="1985"/>
        </w:tabs>
        <w:spacing w:after="120"/>
        <w:ind w:left="567"/>
        <w:jc w:val="both"/>
        <w:rPr>
          <w:rFonts w:cs="Arial"/>
          <w:szCs w:val="24"/>
        </w:rPr>
      </w:pPr>
    </w:p>
    <w:p w14:paraId="71C48C45" w14:textId="77777777" w:rsidR="00DB7535" w:rsidRPr="00B4747A" w:rsidRDefault="00DB7535" w:rsidP="00DB7535">
      <w:pPr>
        <w:tabs>
          <w:tab w:val="num" w:pos="1985"/>
        </w:tabs>
        <w:spacing w:after="120"/>
        <w:ind w:left="567"/>
        <w:jc w:val="both"/>
        <w:rPr>
          <w:rFonts w:cs="Arial"/>
          <w:szCs w:val="24"/>
        </w:rPr>
      </w:pPr>
    </w:p>
    <w:p w14:paraId="4A597F99" w14:textId="7C29A273" w:rsidR="005C2534" w:rsidRDefault="00A01ABE" w:rsidP="00723CAC">
      <w:pPr>
        <w:numPr>
          <w:ilvl w:val="0"/>
          <w:numId w:val="27"/>
        </w:numPr>
        <w:tabs>
          <w:tab w:val="clear" w:pos="360"/>
          <w:tab w:val="num" w:pos="709"/>
          <w:tab w:val="num" w:pos="1985"/>
        </w:tabs>
        <w:spacing w:after="120"/>
        <w:ind w:left="567" w:hanging="567"/>
        <w:jc w:val="both"/>
        <w:rPr>
          <w:rFonts w:cs="Arial"/>
          <w:szCs w:val="24"/>
        </w:rPr>
      </w:pPr>
      <w:r>
        <w:rPr>
          <w:rFonts w:cs="Arial"/>
          <w:szCs w:val="24"/>
        </w:rPr>
        <w:lastRenderedPageBreak/>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sidR="00743B73">
        <w:rPr>
          <w:rFonts w:cs="Arial"/>
          <w:szCs w:val="24"/>
        </w:rPr>
        <w:t>,</w:t>
      </w:r>
      <w:r>
        <w:rPr>
          <w:rFonts w:cs="Arial"/>
          <w:szCs w:val="24"/>
        </w:rPr>
        <w:t xml:space="preserve"> and the Capital Programme </w:t>
      </w:r>
      <w:r w:rsidRPr="00105B2C">
        <w:rPr>
          <w:rFonts w:cs="Arial"/>
          <w:szCs w:val="24"/>
        </w:rPr>
        <w:t>must be affordable.</w:t>
      </w:r>
    </w:p>
    <w:p w14:paraId="7D79C2B3" w14:textId="1E2F54B1" w:rsidR="00073FEA" w:rsidRPr="00AB4FD9" w:rsidRDefault="005C2534" w:rsidP="00AB4FD9">
      <w:pPr>
        <w:numPr>
          <w:ilvl w:val="0"/>
          <w:numId w:val="27"/>
        </w:numPr>
        <w:tabs>
          <w:tab w:val="clear" w:pos="360"/>
          <w:tab w:val="num" w:pos="567"/>
          <w:tab w:val="num" w:pos="1985"/>
        </w:tabs>
        <w:spacing w:after="120"/>
        <w:ind w:left="567" w:hanging="567"/>
        <w:jc w:val="both"/>
        <w:rPr>
          <w:rFonts w:cs="Arial"/>
          <w:szCs w:val="24"/>
        </w:rPr>
      </w:pPr>
      <w:r w:rsidRPr="009F247A">
        <w:rPr>
          <w:rFonts w:cs="Arial"/>
          <w:szCs w:val="24"/>
        </w:rPr>
        <w:t xml:space="preserve">Table </w:t>
      </w:r>
      <w:r w:rsidR="00650CB4" w:rsidRPr="009F247A">
        <w:rPr>
          <w:rFonts w:cs="Arial"/>
          <w:szCs w:val="24"/>
        </w:rPr>
        <w:t>1</w:t>
      </w:r>
      <w:r>
        <w:rPr>
          <w:rFonts w:cs="Arial"/>
          <w:szCs w:val="24"/>
        </w:rPr>
        <w:t xml:space="preserve"> shows the capital financing cost</w:t>
      </w:r>
      <w:r w:rsidR="005E068D">
        <w:rPr>
          <w:rFonts w:cs="Arial"/>
          <w:szCs w:val="24"/>
        </w:rPr>
        <w:t xml:space="preserve"> budgets</w:t>
      </w:r>
      <w:r>
        <w:rPr>
          <w:rFonts w:cs="Arial"/>
          <w:szCs w:val="24"/>
        </w:rPr>
        <w:t xml:space="preserve"> that are already factored into the existing MTFS from 20</w:t>
      </w:r>
      <w:r w:rsidR="003A4837">
        <w:rPr>
          <w:rFonts w:cs="Arial"/>
          <w:szCs w:val="24"/>
        </w:rPr>
        <w:t>2</w:t>
      </w:r>
      <w:r w:rsidR="00632905">
        <w:rPr>
          <w:rFonts w:cs="Arial"/>
          <w:szCs w:val="24"/>
        </w:rPr>
        <w:t>3/24</w:t>
      </w:r>
      <w:r>
        <w:rPr>
          <w:rFonts w:cs="Arial"/>
          <w:szCs w:val="24"/>
        </w:rPr>
        <w:t xml:space="preserve"> to 202</w:t>
      </w:r>
      <w:r w:rsidR="00632905">
        <w:rPr>
          <w:rFonts w:cs="Arial"/>
          <w:szCs w:val="24"/>
        </w:rPr>
        <w:t>5/26</w:t>
      </w:r>
      <w:r w:rsidR="003A4837">
        <w:rPr>
          <w:rFonts w:cs="Arial"/>
          <w:szCs w:val="24"/>
        </w:rPr>
        <w:t xml:space="preserve"> </w:t>
      </w:r>
      <w:r>
        <w:rPr>
          <w:rFonts w:cs="Arial"/>
          <w:szCs w:val="24"/>
        </w:rPr>
        <w:t xml:space="preserve">in relation to the </w:t>
      </w:r>
      <w:r w:rsidR="005E068D">
        <w:rPr>
          <w:rFonts w:cs="Arial"/>
          <w:szCs w:val="24"/>
        </w:rPr>
        <w:t>Capital Programme agreed in February 202</w:t>
      </w:r>
      <w:r w:rsidR="00632905">
        <w:rPr>
          <w:rFonts w:cs="Arial"/>
          <w:szCs w:val="24"/>
        </w:rPr>
        <w:t>3</w:t>
      </w:r>
      <w:r w:rsidR="005E068D">
        <w:rPr>
          <w:rFonts w:cs="Arial"/>
          <w:szCs w:val="24"/>
        </w:rPr>
        <w:t xml:space="preserve"> and</w:t>
      </w:r>
      <w:r w:rsidR="00550033">
        <w:rPr>
          <w:rFonts w:cs="Arial"/>
          <w:szCs w:val="24"/>
        </w:rPr>
        <w:t xml:space="preserve"> </w:t>
      </w:r>
      <w:r w:rsidR="005E068D">
        <w:rPr>
          <w:rFonts w:cs="Arial"/>
          <w:szCs w:val="24"/>
        </w:rPr>
        <w:t xml:space="preserve">also </w:t>
      </w:r>
      <w:r w:rsidR="00DE02DB">
        <w:rPr>
          <w:rFonts w:cs="Arial"/>
          <w:szCs w:val="24"/>
        </w:rPr>
        <w:t xml:space="preserve">what </w:t>
      </w:r>
      <w:r>
        <w:rPr>
          <w:rFonts w:cs="Arial"/>
          <w:szCs w:val="24"/>
        </w:rPr>
        <w:t>proportion of the 202</w:t>
      </w:r>
      <w:r w:rsidR="00632905">
        <w:rPr>
          <w:rFonts w:cs="Arial"/>
          <w:szCs w:val="24"/>
        </w:rPr>
        <w:t>3/24</w:t>
      </w:r>
      <w:r>
        <w:rPr>
          <w:rFonts w:cs="Arial"/>
          <w:szCs w:val="24"/>
        </w:rPr>
        <w:t xml:space="preserve"> net revenue budget of </w:t>
      </w:r>
      <w:r w:rsidRPr="00EF0669">
        <w:rPr>
          <w:rFonts w:cs="Arial"/>
          <w:szCs w:val="24"/>
        </w:rPr>
        <w:t>£1</w:t>
      </w:r>
      <w:r w:rsidR="00EF0669" w:rsidRPr="00EF0669">
        <w:rPr>
          <w:rFonts w:cs="Arial"/>
          <w:szCs w:val="24"/>
        </w:rPr>
        <w:t>96.3</w:t>
      </w:r>
      <w:r w:rsidRPr="00EF0669">
        <w:rPr>
          <w:rFonts w:cs="Arial"/>
          <w:szCs w:val="24"/>
        </w:rPr>
        <w:t>m</w:t>
      </w:r>
      <w:r w:rsidR="00DE02DB">
        <w:rPr>
          <w:rFonts w:cs="Arial"/>
          <w:szCs w:val="24"/>
        </w:rPr>
        <w:t xml:space="preserve"> is made up of Capital Financing costs.</w:t>
      </w:r>
    </w:p>
    <w:p w14:paraId="764D9958" w14:textId="77777777" w:rsidR="00A10A9D" w:rsidRDefault="00A10A9D" w:rsidP="005C2534">
      <w:pPr>
        <w:pStyle w:val="ListParagraph"/>
        <w:rPr>
          <w:rFonts w:cs="Arial"/>
          <w:b/>
          <w:szCs w:val="24"/>
        </w:rPr>
      </w:pPr>
    </w:p>
    <w:p w14:paraId="432F5672" w14:textId="19AF549C" w:rsidR="005C2534" w:rsidRPr="00EA216C" w:rsidRDefault="005C2534" w:rsidP="005C2534">
      <w:pPr>
        <w:pStyle w:val="ListParagraph"/>
        <w:rPr>
          <w:rFonts w:cs="Arial"/>
          <w:b/>
          <w:szCs w:val="24"/>
        </w:rPr>
      </w:pPr>
      <w:r w:rsidRPr="00EA216C">
        <w:rPr>
          <w:rFonts w:cs="Arial"/>
          <w:b/>
          <w:szCs w:val="24"/>
        </w:rPr>
        <w:t xml:space="preserve">Table </w:t>
      </w:r>
      <w:r w:rsidR="00650CB4">
        <w:rPr>
          <w:rFonts w:cs="Arial"/>
          <w:b/>
          <w:szCs w:val="24"/>
        </w:rPr>
        <w:t>1</w:t>
      </w:r>
      <w:r>
        <w:rPr>
          <w:rFonts w:cs="Arial"/>
          <w:b/>
          <w:szCs w:val="24"/>
        </w:rPr>
        <w:t xml:space="preserve"> - </w:t>
      </w:r>
      <w:r w:rsidRPr="00EA216C">
        <w:rPr>
          <w:rFonts w:cs="Arial"/>
          <w:b/>
          <w:szCs w:val="24"/>
        </w:rPr>
        <w:t xml:space="preserve">Capital Financing Costs as % of the </w:t>
      </w:r>
      <w:r w:rsidR="00550033">
        <w:rPr>
          <w:rFonts w:cs="Arial"/>
          <w:b/>
          <w:szCs w:val="24"/>
        </w:rPr>
        <w:t>202</w:t>
      </w:r>
      <w:r w:rsidR="00632905">
        <w:rPr>
          <w:rFonts w:cs="Arial"/>
          <w:b/>
          <w:szCs w:val="24"/>
        </w:rPr>
        <w:t>3/24</w:t>
      </w:r>
      <w:r w:rsidR="00550033">
        <w:rPr>
          <w:rFonts w:cs="Arial"/>
          <w:b/>
          <w:szCs w:val="24"/>
        </w:rPr>
        <w:t xml:space="preserve"> </w:t>
      </w:r>
      <w:r w:rsidRPr="00EA216C">
        <w:rPr>
          <w:rFonts w:cs="Arial"/>
          <w:b/>
          <w:szCs w:val="24"/>
        </w:rPr>
        <w:t>Net Revenue Budget</w:t>
      </w:r>
      <w:r>
        <w:rPr>
          <w:rFonts w:cs="Arial"/>
          <w:b/>
          <w:szCs w:val="24"/>
        </w:rPr>
        <w:t xml:space="preserve"> </w:t>
      </w:r>
      <w:r w:rsidR="00550033">
        <w:rPr>
          <w:rFonts w:cs="Arial"/>
          <w:b/>
          <w:szCs w:val="24"/>
        </w:rPr>
        <w:t xml:space="preserve">of </w:t>
      </w:r>
      <w:r w:rsidR="00550033" w:rsidRPr="00EF0669">
        <w:rPr>
          <w:rFonts w:cs="Arial"/>
          <w:b/>
          <w:szCs w:val="24"/>
        </w:rPr>
        <w:t>£</w:t>
      </w:r>
      <w:r w:rsidR="00EF0669" w:rsidRPr="00EF0669">
        <w:rPr>
          <w:rFonts w:cs="Arial"/>
          <w:b/>
          <w:szCs w:val="24"/>
        </w:rPr>
        <w:t>196.3</w:t>
      </w:r>
      <w:r w:rsidR="00550033" w:rsidRPr="00EF0669">
        <w:rPr>
          <w:rFonts w:cs="Arial"/>
          <w:b/>
          <w:szCs w:val="24"/>
        </w:rPr>
        <w:t>m</w:t>
      </w:r>
    </w:p>
    <w:tbl>
      <w:tblPr>
        <w:tblStyle w:val="TableGrid"/>
        <w:tblW w:w="0" w:type="auto"/>
        <w:tblInd w:w="720" w:type="dxa"/>
        <w:tblLook w:val="04A0" w:firstRow="1" w:lastRow="0" w:firstColumn="1" w:lastColumn="0" w:noHBand="0" w:noVBand="1"/>
      </w:tblPr>
      <w:tblGrid>
        <w:gridCol w:w="1937"/>
        <w:gridCol w:w="2749"/>
        <w:gridCol w:w="2901"/>
      </w:tblGrid>
      <w:tr w:rsidR="005C2534" w:rsidRPr="00834BE8" w14:paraId="04C533A9" w14:textId="77777777" w:rsidTr="005735EA">
        <w:trPr>
          <w:trHeight w:val="801"/>
        </w:trPr>
        <w:tc>
          <w:tcPr>
            <w:tcW w:w="1937" w:type="dxa"/>
          </w:tcPr>
          <w:p w14:paraId="0A14325A" w14:textId="77777777" w:rsidR="005C2534" w:rsidRPr="00834BE8" w:rsidRDefault="005C2534" w:rsidP="005735EA">
            <w:pPr>
              <w:pStyle w:val="ListParagraph"/>
              <w:ind w:left="0"/>
              <w:rPr>
                <w:rFonts w:cs="Arial"/>
                <w:b/>
                <w:bCs/>
                <w:szCs w:val="24"/>
              </w:rPr>
            </w:pPr>
          </w:p>
        </w:tc>
        <w:tc>
          <w:tcPr>
            <w:tcW w:w="2749" w:type="dxa"/>
          </w:tcPr>
          <w:p w14:paraId="43DC5F7E" w14:textId="65FD5CF3" w:rsidR="005C2534" w:rsidRPr="00834BE8" w:rsidRDefault="005C2534" w:rsidP="005735EA">
            <w:pPr>
              <w:pStyle w:val="ListParagraph"/>
              <w:ind w:left="0"/>
              <w:jc w:val="center"/>
              <w:rPr>
                <w:rFonts w:cs="Arial"/>
                <w:b/>
                <w:bCs/>
                <w:szCs w:val="24"/>
              </w:rPr>
            </w:pPr>
            <w:r w:rsidRPr="00834BE8">
              <w:rPr>
                <w:rFonts w:cs="Arial"/>
                <w:b/>
                <w:bCs/>
                <w:szCs w:val="24"/>
              </w:rPr>
              <w:t xml:space="preserve">Capital Financing </w:t>
            </w:r>
            <w:r w:rsidR="00BE6EBC" w:rsidRPr="00834BE8">
              <w:rPr>
                <w:rFonts w:cs="Arial"/>
                <w:b/>
                <w:bCs/>
                <w:szCs w:val="24"/>
              </w:rPr>
              <w:t>Budgets</w:t>
            </w:r>
          </w:p>
        </w:tc>
        <w:tc>
          <w:tcPr>
            <w:tcW w:w="2901" w:type="dxa"/>
          </w:tcPr>
          <w:p w14:paraId="78483279" w14:textId="21E77C78" w:rsidR="005C2534" w:rsidRPr="00834BE8" w:rsidRDefault="005C2534" w:rsidP="005735EA">
            <w:pPr>
              <w:pStyle w:val="ListParagraph"/>
              <w:ind w:left="0"/>
              <w:jc w:val="center"/>
              <w:rPr>
                <w:rFonts w:cs="Arial"/>
                <w:b/>
                <w:bCs/>
                <w:szCs w:val="24"/>
              </w:rPr>
            </w:pPr>
            <w:r w:rsidRPr="00834BE8">
              <w:rPr>
                <w:rFonts w:cs="Arial"/>
                <w:b/>
                <w:bCs/>
                <w:szCs w:val="24"/>
              </w:rPr>
              <w:t>Capital financing costs as % of 202</w:t>
            </w:r>
            <w:r w:rsidR="00632905" w:rsidRPr="00834BE8">
              <w:rPr>
                <w:rFonts w:cs="Arial"/>
                <w:b/>
                <w:bCs/>
                <w:szCs w:val="24"/>
              </w:rPr>
              <w:t>3/24</w:t>
            </w:r>
            <w:r w:rsidRPr="00834BE8">
              <w:rPr>
                <w:rFonts w:cs="Arial"/>
                <w:b/>
                <w:bCs/>
                <w:szCs w:val="24"/>
              </w:rPr>
              <w:t xml:space="preserve"> Net Budget</w:t>
            </w:r>
          </w:p>
        </w:tc>
      </w:tr>
      <w:tr w:rsidR="005C2534" w14:paraId="6138E182" w14:textId="77777777" w:rsidTr="005735EA">
        <w:trPr>
          <w:trHeight w:val="271"/>
        </w:trPr>
        <w:tc>
          <w:tcPr>
            <w:tcW w:w="1937" w:type="dxa"/>
          </w:tcPr>
          <w:p w14:paraId="1C5B9CDC" w14:textId="77777777" w:rsidR="005C2534" w:rsidRDefault="005C2534" w:rsidP="005735EA">
            <w:pPr>
              <w:pStyle w:val="ListParagraph"/>
              <w:ind w:left="0"/>
              <w:rPr>
                <w:rFonts w:cs="Arial"/>
                <w:szCs w:val="24"/>
              </w:rPr>
            </w:pPr>
          </w:p>
        </w:tc>
        <w:tc>
          <w:tcPr>
            <w:tcW w:w="2749" w:type="dxa"/>
          </w:tcPr>
          <w:p w14:paraId="019D5BD3" w14:textId="77777777" w:rsidR="005C2534" w:rsidRDefault="005C2534" w:rsidP="005735EA">
            <w:pPr>
              <w:pStyle w:val="ListParagraph"/>
              <w:ind w:left="0"/>
              <w:jc w:val="center"/>
              <w:rPr>
                <w:rFonts w:cs="Arial"/>
                <w:szCs w:val="24"/>
              </w:rPr>
            </w:pPr>
            <w:r>
              <w:rPr>
                <w:rFonts w:cs="Arial"/>
                <w:szCs w:val="24"/>
              </w:rPr>
              <w:t>£m</w:t>
            </w:r>
          </w:p>
        </w:tc>
        <w:tc>
          <w:tcPr>
            <w:tcW w:w="2901" w:type="dxa"/>
          </w:tcPr>
          <w:p w14:paraId="0CD84E1A" w14:textId="77777777" w:rsidR="005C2534" w:rsidRDefault="005C2534" w:rsidP="005735EA">
            <w:pPr>
              <w:pStyle w:val="ListParagraph"/>
              <w:ind w:left="0"/>
              <w:jc w:val="center"/>
              <w:rPr>
                <w:rFonts w:cs="Arial"/>
                <w:szCs w:val="24"/>
              </w:rPr>
            </w:pPr>
            <w:r>
              <w:rPr>
                <w:rFonts w:cs="Arial"/>
                <w:szCs w:val="24"/>
              </w:rPr>
              <w:t>%</w:t>
            </w:r>
          </w:p>
        </w:tc>
      </w:tr>
      <w:tr w:rsidR="005C2534" w14:paraId="66724FBA" w14:textId="77777777" w:rsidTr="005735EA">
        <w:trPr>
          <w:trHeight w:val="271"/>
        </w:trPr>
        <w:tc>
          <w:tcPr>
            <w:tcW w:w="1937" w:type="dxa"/>
          </w:tcPr>
          <w:p w14:paraId="2CDD0826" w14:textId="6E644A42" w:rsidR="005C2534" w:rsidRPr="00EF0669" w:rsidRDefault="005C2534" w:rsidP="005735EA">
            <w:pPr>
              <w:pStyle w:val="ListParagraph"/>
              <w:ind w:left="0"/>
              <w:rPr>
                <w:rFonts w:cs="Arial"/>
                <w:szCs w:val="24"/>
              </w:rPr>
            </w:pPr>
            <w:r w:rsidRPr="00EF0669">
              <w:rPr>
                <w:rFonts w:cs="Arial"/>
                <w:szCs w:val="24"/>
              </w:rPr>
              <w:t>202</w:t>
            </w:r>
            <w:r w:rsidR="00550033" w:rsidRPr="00EF0669">
              <w:rPr>
                <w:rFonts w:cs="Arial"/>
                <w:szCs w:val="24"/>
              </w:rPr>
              <w:t>3</w:t>
            </w:r>
            <w:r w:rsidRPr="00EF0669">
              <w:rPr>
                <w:rFonts w:cs="Arial"/>
                <w:szCs w:val="24"/>
              </w:rPr>
              <w:t>/2</w:t>
            </w:r>
            <w:r w:rsidR="00550033" w:rsidRPr="00EF0669">
              <w:rPr>
                <w:rFonts w:cs="Arial"/>
                <w:szCs w:val="24"/>
              </w:rPr>
              <w:t>4</w:t>
            </w:r>
          </w:p>
        </w:tc>
        <w:tc>
          <w:tcPr>
            <w:tcW w:w="2749" w:type="dxa"/>
          </w:tcPr>
          <w:p w14:paraId="368E5F90" w14:textId="7D2478A6" w:rsidR="005C2534" w:rsidRPr="00EF0669" w:rsidRDefault="00C50F75" w:rsidP="005735EA">
            <w:pPr>
              <w:pStyle w:val="ListParagraph"/>
              <w:ind w:left="0"/>
              <w:jc w:val="center"/>
              <w:rPr>
                <w:rFonts w:cs="Arial"/>
                <w:szCs w:val="24"/>
              </w:rPr>
            </w:pPr>
            <w:r w:rsidRPr="00EF0669">
              <w:rPr>
                <w:rFonts w:cs="Arial"/>
                <w:szCs w:val="24"/>
              </w:rPr>
              <w:t>3</w:t>
            </w:r>
            <w:r w:rsidR="00EF0669" w:rsidRPr="00EF0669">
              <w:rPr>
                <w:rFonts w:cs="Arial"/>
                <w:szCs w:val="24"/>
              </w:rPr>
              <w:t>1.4</w:t>
            </w:r>
          </w:p>
        </w:tc>
        <w:tc>
          <w:tcPr>
            <w:tcW w:w="2901" w:type="dxa"/>
          </w:tcPr>
          <w:p w14:paraId="0EF4F547" w14:textId="47A6D137" w:rsidR="005C2534" w:rsidRPr="00EF0669" w:rsidRDefault="00550033" w:rsidP="005735EA">
            <w:pPr>
              <w:pStyle w:val="ListParagraph"/>
              <w:ind w:left="0"/>
              <w:jc w:val="center"/>
              <w:rPr>
                <w:rFonts w:cs="Arial"/>
                <w:szCs w:val="24"/>
              </w:rPr>
            </w:pPr>
            <w:r w:rsidRPr="00EF0669">
              <w:rPr>
                <w:rFonts w:cs="Arial"/>
                <w:szCs w:val="24"/>
              </w:rPr>
              <w:t>1</w:t>
            </w:r>
            <w:r w:rsidR="00EF0669" w:rsidRPr="00EF0669">
              <w:rPr>
                <w:rFonts w:cs="Arial"/>
                <w:szCs w:val="24"/>
              </w:rPr>
              <w:t>6.0</w:t>
            </w:r>
            <w:r w:rsidR="005C2534" w:rsidRPr="00EF0669">
              <w:rPr>
                <w:rFonts w:cs="Arial"/>
                <w:szCs w:val="24"/>
              </w:rPr>
              <w:t>%</w:t>
            </w:r>
          </w:p>
        </w:tc>
      </w:tr>
      <w:tr w:rsidR="003A4837" w14:paraId="06761D38" w14:textId="77777777" w:rsidTr="005735EA">
        <w:trPr>
          <w:trHeight w:val="271"/>
        </w:trPr>
        <w:tc>
          <w:tcPr>
            <w:tcW w:w="1937" w:type="dxa"/>
          </w:tcPr>
          <w:p w14:paraId="746D3FCC" w14:textId="3A3596C9" w:rsidR="003A4837" w:rsidRPr="00EF0669" w:rsidRDefault="00C50F75" w:rsidP="005735EA">
            <w:pPr>
              <w:pStyle w:val="ListParagraph"/>
              <w:ind w:left="0"/>
              <w:rPr>
                <w:rFonts w:cs="Arial"/>
                <w:szCs w:val="24"/>
              </w:rPr>
            </w:pPr>
            <w:r w:rsidRPr="00EF0669">
              <w:rPr>
                <w:rFonts w:cs="Arial"/>
                <w:szCs w:val="24"/>
              </w:rPr>
              <w:t>202</w:t>
            </w:r>
            <w:r w:rsidR="00550033" w:rsidRPr="00EF0669">
              <w:rPr>
                <w:rFonts w:cs="Arial"/>
                <w:szCs w:val="24"/>
              </w:rPr>
              <w:t>4</w:t>
            </w:r>
            <w:r w:rsidRPr="00EF0669">
              <w:rPr>
                <w:rFonts w:cs="Arial"/>
                <w:szCs w:val="24"/>
              </w:rPr>
              <w:t>/2</w:t>
            </w:r>
            <w:r w:rsidR="00550033" w:rsidRPr="00EF0669">
              <w:rPr>
                <w:rFonts w:cs="Arial"/>
                <w:szCs w:val="24"/>
              </w:rPr>
              <w:t>5</w:t>
            </w:r>
          </w:p>
        </w:tc>
        <w:tc>
          <w:tcPr>
            <w:tcW w:w="2749" w:type="dxa"/>
          </w:tcPr>
          <w:p w14:paraId="1E3574DD" w14:textId="426E53DC" w:rsidR="003A4837" w:rsidRPr="00EF0669" w:rsidRDefault="00C50F75" w:rsidP="005735EA">
            <w:pPr>
              <w:pStyle w:val="ListParagraph"/>
              <w:ind w:left="0"/>
              <w:jc w:val="center"/>
              <w:rPr>
                <w:rFonts w:cs="Arial"/>
                <w:szCs w:val="24"/>
              </w:rPr>
            </w:pPr>
            <w:r w:rsidRPr="00EF0669">
              <w:rPr>
                <w:rFonts w:cs="Arial"/>
                <w:szCs w:val="24"/>
              </w:rPr>
              <w:t>3</w:t>
            </w:r>
            <w:r w:rsidR="00EF0669" w:rsidRPr="00EF0669">
              <w:rPr>
                <w:rFonts w:cs="Arial"/>
                <w:szCs w:val="24"/>
              </w:rPr>
              <w:t>3.3</w:t>
            </w:r>
          </w:p>
        </w:tc>
        <w:tc>
          <w:tcPr>
            <w:tcW w:w="2901" w:type="dxa"/>
          </w:tcPr>
          <w:p w14:paraId="03D11097" w14:textId="7DC587A6" w:rsidR="003A4837" w:rsidRPr="00EF0669" w:rsidRDefault="00550033" w:rsidP="005735EA">
            <w:pPr>
              <w:pStyle w:val="ListParagraph"/>
              <w:ind w:left="0"/>
              <w:jc w:val="center"/>
              <w:rPr>
                <w:rFonts w:cs="Arial"/>
                <w:szCs w:val="24"/>
              </w:rPr>
            </w:pPr>
            <w:r w:rsidRPr="00EF0669">
              <w:rPr>
                <w:rFonts w:cs="Arial"/>
                <w:szCs w:val="24"/>
              </w:rPr>
              <w:t>1</w:t>
            </w:r>
            <w:r w:rsidR="00EF0669" w:rsidRPr="00EF0669">
              <w:rPr>
                <w:rFonts w:cs="Arial"/>
                <w:szCs w:val="24"/>
              </w:rPr>
              <w:t>7.0</w:t>
            </w:r>
            <w:r w:rsidR="00C50F75" w:rsidRPr="00EF0669">
              <w:rPr>
                <w:rFonts w:cs="Arial"/>
                <w:szCs w:val="24"/>
              </w:rPr>
              <w:t>%</w:t>
            </w:r>
          </w:p>
        </w:tc>
      </w:tr>
      <w:tr w:rsidR="00632905" w14:paraId="22194E4A" w14:textId="77777777" w:rsidTr="005735EA">
        <w:trPr>
          <w:trHeight w:val="271"/>
        </w:trPr>
        <w:tc>
          <w:tcPr>
            <w:tcW w:w="1937" w:type="dxa"/>
          </w:tcPr>
          <w:p w14:paraId="105A4E8D" w14:textId="2480CDCE" w:rsidR="00632905" w:rsidRPr="00EF0669" w:rsidRDefault="00632905" w:rsidP="005735EA">
            <w:pPr>
              <w:pStyle w:val="ListParagraph"/>
              <w:ind w:left="0"/>
              <w:rPr>
                <w:rFonts w:cs="Arial"/>
                <w:szCs w:val="24"/>
              </w:rPr>
            </w:pPr>
            <w:r w:rsidRPr="00EF0669">
              <w:rPr>
                <w:rFonts w:cs="Arial"/>
                <w:szCs w:val="24"/>
              </w:rPr>
              <w:t>2025/26</w:t>
            </w:r>
          </w:p>
        </w:tc>
        <w:tc>
          <w:tcPr>
            <w:tcW w:w="2749" w:type="dxa"/>
          </w:tcPr>
          <w:p w14:paraId="738426B9" w14:textId="604FDE4D" w:rsidR="00632905" w:rsidRPr="00EF0669" w:rsidRDefault="00EF0669" w:rsidP="005735EA">
            <w:pPr>
              <w:pStyle w:val="ListParagraph"/>
              <w:ind w:left="0"/>
              <w:jc w:val="center"/>
              <w:rPr>
                <w:rFonts w:cs="Arial"/>
                <w:szCs w:val="24"/>
              </w:rPr>
            </w:pPr>
            <w:r w:rsidRPr="00EF0669">
              <w:rPr>
                <w:rFonts w:cs="Arial"/>
                <w:szCs w:val="24"/>
              </w:rPr>
              <w:t>33.7</w:t>
            </w:r>
          </w:p>
        </w:tc>
        <w:tc>
          <w:tcPr>
            <w:tcW w:w="2901" w:type="dxa"/>
          </w:tcPr>
          <w:p w14:paraId="2FCE8D8E" w14:textId="60B3FCA5" w:rsidR="00632905" w:rsidRPr="00EF0669" w:rsidRDefault="00EF0669" w:rsidP="005735EA">
            <w:pPr>
              <w:pStyle w:val="ListParagraph"/>
              <w:ind w:left="0"/>
              <w:jc w:val="center"/>
              <w:rPr>
                <w:rFonts w:cs="Arial"/>
                <w:szCs w:val="24"/>
              </w:rPr>
            </w:pPr>
            <w:r w:rsidRPr="00EF0669">
              <w:rPr>
                <w:rFonts w:cs="Arial"/>
                <w:szCs w:val="24"/>
              </w:rPr>
              <w:t>17.2%</w:t>
            </w:r>
          </w:p>
        </w:tc>
      </w:tr>
    </w:tbl>
    <w:p w14:paraId="4A696F7B" w14:textId="77777777" w:rsidR="00D818F6" w:rsidRPr="00A01ABE" w:rsidRDefault="00D818F6" w:rsidP="00723CAC">
      <w:pPr>
        <w:tabs>
          <w:tab w:val="num" w:pos="1985"/>
        </w:tabs>
        <w:spacing w:after="120"/>
        <w:ind w:left="567"/>
        <w:jc w:val="both"/>
        <w:rPr>
          <w:rFonts w:cs="Arial"/>
          <w:szCs w:val="24"/>
        </w:rPr>
      </w:pPr>
    </w:p>
    <w:p w14:paraId="49E6A484" w14:textId="6365E383" w:rsidR="00B4747A" w:rsidRPr="00B4747A" w:rsidRDefault="00A01ABE"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B67C31">
        <w:rPr>
          <w:rFonts w:cs="Arial"/>
          <w:szCs w:val="24"/>
        </w:rPr>
        <w:t xml:space="preserve"> </w:t>
      </w:r>
      <w:r w:rsidR="00390AEE">
        <w:rPr>
          <w:rFonts w:cs="Arial"/>
          <w:szCs w:val="24"/>
        </w:rPr>
        <w:t>c</w:t>
      </w:r>
      <w:r w:rsidR="002F7710">
        <w:rPr>
          <w:rFonts w:cs="Arial"/>
          <w:szCs w:val="24"/>
        </w:rPr>
        <w:t>apital financing cost of the existing Capital programme</w:t>
      </w:r>
      <w:r w:rsidR="00FF3DB3">
        <w:rPr>
          <w:rFonts w:cs="Arial"/>
          <w:szCs w:val="24"/>
        </w:rPr>
        <w:t xml:space="preserve"> 20</w:t>
      </w:r>
      <w:r>
        <w:rPr>
          <w:rFonts w:cs="Arial"/>
          <w:szCs w:val="24"/>
        </w:rPr>
        <w:t>2</w:t>
      </w:r>
      <w:r w:rsidR="00632905">
        <w:rPr>
          <w:rFonts w:cs="Arial"/>
          <w:szCs w:val="24"/>
        </w:rPr>
        <w:t>3/24</w:t>
      </w:r>
      <w:r w:rsidR="00FF3DB3">
        <w:rPr>
          <w:rFonts w:cs="Arial"/>
          <w:szCs w:val="24"/>
        </w:rPr>
        <w:t xml:space="preserve"> to 202</w:t>
      </w:r>
      <w:r w:rsidR="00632905">
        <w:rPr>
          <w:rFonts w:cs="Arial"/>
          <w:szCs w:val="24"/>
        </w:rPr>
        <w:t>5/26</w:t>
      </w:r>
      <w:r>
        <w:rPr>
          <w:rFonts w:cs="Arial"/>
          <w:szCs w:val="24"/>
        </w:rPr>
        <w:t xml:space="preserve"> (</w:t>
      </w:r>
      <w:r w:rsidRPr="00723CAC">
        <w:rPr>
          <w:rFonts w:cs="Arial"/>
          <w:b/>
          <w:bCs/>
          <w:szCs w:val="24"/>
        </w:rPr>
        <w:t>agreed at Council in February 202</w:t>
      </w:r>
      <w:r w:rsidR="00632905">
        <w:rPr>
          <w:rFonts w:cs="Arial"/>
          <w:b/>
          <w:bCs/>
          <w:szCs w:val="24"/>
        </w:rPr>
        <w:t>3</w:t>
      </w:r>
      <w:r>
        <w:rPr>
          <w:rFonts w:cs="Arial"/>
          <w:szCs w:val="24"/>
        </w:rPr>
        <w:t>)</w:t>
      </w:r>
      <w:r w:rsidR="00FF3DB3">
        <w:rPr>
          <w:rFonts w:cs="Arial"/>
          <w:szCs w:val="24"/>
        </w:rPr>
        <w:t xml:space="preserve"> is</w:t>
      </w:r>
      <w:r w:rsidR="002F7710">
        <w:rPr>
          <w:rFonts w:cs="Arial"/>
          <w:szCs w:val="24"/>
        </w:rPr>
        <w:t xml:space="preserve"> </w:t>
      </w:r>
      <w:r w:rsidR="001E0DA0" w:rsidRPr="0095412B">
        <w:rPr>
          <w:rFonts w:cs="Arial"/>
          <w:szCs w:val="24"/>
        </w:rPr>
        <w:t>£</w:t>
      </w:r>
      <w:r w:rsidR="001E570C" w:rsidRPr="0095412B">
        <w:rPr>
          <w:rFonts w:cs="Arial"/>
          <w:szCs w:val="24"/>
        </w:rPr>
        <w:t>3</w:t>
      </w:r>
      <w:r w:rsidR="00EF0669">
        <w:rPr>
          <w:rFonts w:cs="Arial"/>
          <w:szCs w:val="24"/>
        </w:rPr>
        <w:t>1.4</w:t>
      </w:r>
      <w:r w:rsidR="001E0DA0" w:rsidRPr="0095412B">
        <w:rPr>
          <w:rFonts w:cs="Arial"/>
          <w:szCs w:val="24"/>
        </w:rPr>
        <w:t>m</w:t>
      </w:r>
      <w:r>
        <w:rPr>
          <w:rFonts w:cs="Arial"/>
          <w:szCs w:val="24"/>
        </w:rPr>
        <w:t xml:space="preserve"> in 202</w:t>
      </w:r>
      <w:r w:rsidR="00632905">
        <w:rPr>
          <w:rFonts w:cs="Arial"/>
          <w:szCs w:val="24"/>
        </w:rPr>
        <w:t>3/24</w:t>
      </w:r>
      <w:r>
        <w:rPr>
          <w:rFonts w:cs="Arial"/>
          <w:szCs w:val="24"/>
        </w:rPr>
        <w:t xml:space="preserve"> and then increases to</w:t>
      </w:r>
      <w:r w:rsidR="00EF0669">
        <w:rPr>
          <w:rFonts w:cs="Arial"/>
          <w:szCs w:val="24"/>
        </w:rPr>
        <w:t xml:space="preserve"> £33.7m</w:t>
      </w:r>
      <w:r>
        <w:rPr>
          <w:rFonts w:cs="Arial"/>
          <w:szCs w:val="24"/>
        </w:rPr>
        <w:t xml:space="preserve"> by 202</w:t>
      </w:r>
      <w:r w:rsidR="00632905">
        <w:rPr>
          <w:rFonts w:cs="Arial"/>
          <w:szCs w:val="24"/>
        </w:rPr>
        <w:t>5/26</w:t>
      </w:r>
      <w:r w:rsidR="00FF3DB3">
        <w:rPr>
          <w:rFonts w:cs="Arial"/>
          <w:szCs w:val="24"/>
        </w:rPr>
        <w:t>.  Th</w:t>
      </w:r>
      <w:r>
        <w:rPr>
          <w:rFonts w:cs="Arial"/>
          <w:szCs w:val="24"/>
        </w:rPr>
        <w:t>ese</w:t>
      </w:r>
      <w:r w:rsidR="00FF3DB3">
        <w:rPr>
          <w:rFonts w:cs="Arial"/>
          <w:szCs w:val="24"/>
        </w:rPr>
        <w:t xml:space="preserve"> figure</w:t>
      </w:r>
      <w:r w:rsidR="0095412B">
        <w:rPr>
          <w:rFonts w:cs="Arial"/>
          <w:szCs w:val="24"/>
        </w:rPr>
        <w:t>s</w:t>
      </w:r>
      <w:r w:rsidR="00FF3DB3">
        <w:rPr>
          <w:rFonts w:cs="Arial"/>
          <w:szCs w:val="24"/>
        </w:rPr>
        <w:t xml:space="preserve"> </w:t>
      </w:r>
      <w:r w:rsidR="00CF1AE7">
        <w:rPr>
          <w:rFonts w:cs="Arial"/>
          <w:szCs w:val="24"/>
        </w:rPr>
        <w:t xml:space="preserve">include the cost </w:t>
      </w:r>
      <w:r w:rsidR="00FF3DB3">
        <w:rPr>
          <w:rFonts w:cs="Arial"/>
          <w:szCs w:val="24"/>
        </w:rPr>
        <w:t>of historic capital programmes</w:t>
      </w:r>
      <w:r w:rsidR="005C2534">
        <w:rPr>
          <w:rFonts w:cs="Arial"/>
          <w:szCs w:val="24"/>
        </w:rPr>
        <w:t>.</w:t>
      </w:r>
    </w:p>
    <w:p w14:paraId="74B239F6" w14:textId="12DFB655" w:rsidR="00B4747A" w:rsidRPr="0083499A" w:rsidRDefault="00C50F75" w:rsidP="0083499A">
      <w:pPr>
        <w:numPr>
          <w:ilvl w:val="0"/>
          <w:numId w:val="27"/>
        </w:numPr>
        <w:tabs>
          <w:tab w:val="clear" w:pos="360"/>
          <w:tab w:val="num" w:pos="567"/>
          <w:tab w:val="num" w:pos="1985"/>
        </w:tabs>
        <w:spacing w:after="120"/>
        <w:ind w:left="567" w:hanging="567"/>
        <w:jc w:val="both"/>
        <w:rPr>
          <w:rFonts w:cs="Arial"/>
          <w:szCs w:val="24"/>
        </w:rPr>
      </w:pPr>
      <w:r>
        <w:rPr>
          <w:rFonts w:cs="Arial"/>
          <w:szCs w:val="24"/>
        </w:rPr>
        <w:t>The</w:t>
      </w:r>
      <w:r w:rsidR="00733870">
        <w:rPr>
          <w:rFonts w:cs="Arial"/>
          <w:szCs w:val="24"/>
        </w:rPr>
        <w:t xml:space="preserve"> </w:t>
      </w:r>
      <w:r w:rsidR="005C2534">
        <w:rPr>
          <w:rFonts w:cs="Arial"/>
          <w:szCs w:val="24"/>
        </w:rPr>
        <w:t xml:space="preserve">figures </w:t>
      </w:r>
      <w:r>
        <w:rPr>
          <w:rFonts w:cs="Arial"/>
          <w:szCs w:val="24"/>
        </w:rPr>
        <w:t xml:space="preserve">in </w:t>
      </w:r>
      <w:r w:rsidRPr="009F247A">
        <w:rPr>
          <w:rFonts w:cs="Arial"/>
          <w:szCs w:val="24"/>
        </w:rPr>
        <w:t>Table 1</w:t>
      </w:r>
      <w:r>
        <w:rPr>
          <w:rFonts w:cs="Arial"/>
          <w:szCs w:val="24"/>
        </w:rPr>
        <w:t xml:space="preserve"> </w:t>
      </w:r>
      <w:r w:rsidR="005C2534">
        <w:rPr>
          <w:rFonts w:cs="Arial"/>
          <w:szCs w:val="24"/>
        </w:rPr>
        <w:t xml:space="preserve">will </w:t>
      </w:r>
      <w:r w:rsidR="0095412B">
        <w:rPr>
          <w:rFonts w:cs="Arial"/>
          <w:szCs w:val="24"/>
        </w:rPr>
        <w:t>also include capital financing costs which relate to p</w:t>
      </w:r>
      <w:r w:rsidR="005C2534">
        <w:rPr>
          <w:rFonts w:cs="Arial"/>
          <w:szCs w:val="24"/>
        </w:rPr>
        <w:t>rojects</w:t>
      </w:r>
      <w:r w:rsidR="0095412B">
        <w:rPr>
          <w:rFonts w:cs="Arial"/>
          <w:szCs w:val="24"/>
        </w:rPr>
        <w:t xml:space="preserve"> put into the programme to generate enough revenue to cover their capital financing costs and therefore</w:t>
      </w:r>
      <w:r w:rsidR="00F320E1">
        <w:rPr>
          <w:rFonts w:cs="Arial"/>
          <w:szCs w:val="24"/>
        </w:rPr>
        <w:t xml:space="preserve"> are</w:t>
      </w:r>
      <w:r w:rsidR="0095412B">
        <w:rPr>
          <w:rFonts w:cs="Arial"/>
          <w:szCs w:val="24"/>
        </w:rPr>
        <w:t xml:space="preserve"> cost neutral</w:t>
      </w:r>
      <w:r w:rsidR="005C2534">
        <w:rPr>
          <w:rFonts w:cs="Arial"/>
          <w:szCs w:val="24"/>
        </w:rPr>
        <w:t xml:space="preserve"> and </w:t>
      </w:r>
      <w:r w:rsidR="00F320E1">
        <w:rPr>
          <w:rFonts w:cs="Arial"/>
          <w:szCs w:val="24"/>
        </w:rPr>
        <w:t xml:space="preserve">do </w:t>
      </w:r>
      <w:r w:rsidR="005C2534">
        <w:rPr>
          <w:rFonts w:cs="Arial"/>
          <w:szCs w:val="24"/>
        </w:rPr>
        <w:t>not impact on the revenue budget as a direct cost.</w:t>
      </w:r>
      <w:r w:rsidR="002E13BA">
        <w:rPr>
          <w:rFonts w:cs="Arial"/>
          <w:szCs w:val="24"/>
        </w:rPr>
        <w:t xml:space="preserve"> </w:t>
      </w:r>
      <w:r>
        <w:rPr>
          <w:rFonts w:cs="Arial"/>
          <w:szCs w:val="24"/>
        </w:rPr>
        <w:t>If these costs were removed from the figures in Table 1, it would reduce the overall percentage figure</w:t>
      </w:r>
      <w:r w:rsidR="00E54E05">
        <w:rPr>
          <w:rFonts w:cs="Arial"/>
          <w:szCs w:val="24"/>
        </w:rPr>
        <w:t xml:space="preserve">.  </w:t>
      </w:r>
      <w:r>
        <w:rPr>
          <w:rFonts w:cs="Arial"/>
          <w:szCs w:val="24"/>
        </w:rPr>
        <w:t xml:space="preserve">However, </w:t>
      </w:r>
      <w:r w:rsidR="00E54E05">
        <w:rPr>
          <w:rFonts w:cs="Arial"/>
          <w:szCs w:val="24"/>
        </w:rPr>
        <w:t xml:space="preserve">for prudence the figures are included on the basis that the requirement on borrowing is definite but the requirement to generate revenue is not guaranteed. </w:t>
      </w:r>
      <w:r w:rsidR="00E54E05" w:rsidRPr="0083499A">
        <w:rPr>
          <w:rFonts w:cs="Arial"/>
          <w:szCs w:val="24"/>
        </w:rPr>
        <w:t xml:space="preserve"> </w:t>
      </w:r>
    </w:p>
    <w:p w14:paraId="0EBBD5F5" w14:textId="1C46337F" w:rsidR="0067433B" w:rsidRDefault="0083499A" w:rsidP="00B4747A">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As explained in paragraph </w:t>
      </w:r>
      <w:r w:rsidR="00EF0669" w:rsidRPr="005E0C91">
        <w:rPr>
          <w:rFonts w:cs="Arial"/>
          <w:szCs w:val="24"/>
        </w:rPr>
        <w:t>6</w:t>
      </w:r>
      <w:r w:rsidRPr="005E0C91">
        <w:rPr>
          <w:rFonts w:cs="Arial"/>
          <w:szCs w:val="24"/>
        </w:rPr>
        <w:t>b,</w:t>
      </w:r>
      <w:r>
        <w:rPr>
          <w:rFonts w:cs="Arial"/>
          <w:szCs w:val="24"/>
        </w:rPr>
        <w:t xml:space="preserve"> some budgets in the current Capital Programme assumed to be funded from borrowing are no longer required. These total </w:t>
      </w:r>
      <w:r w:rsidRPr="00C477CB">
        <w:rPr>
          <w:rFonts w:cs="Arial"/>
          <w:szCs w:val="24"/>
        </w:rPr>
        <w:t>£</w:t>
      </w:r>
      <w:r w:rsidR="005F2B0D" w:rsidRPr="00C477CB">
        <w:rPr>
          <w:rFonts w:cs="Arial"/>
          <w:szCs w:val="24"/>
        </w:rPr>
        <w:t>2.</w:t>
      </w:r>
      <w:r w:rsidR="00941485">
        <w:rPr>
          <w:rFonts w:cs="Arial"/>
          <w:szCs w:val="24"/>
        </w:rPr>
        <w:t>124</w:t>
      </w:r>
      <w:r w:rsidRPr="00C477CB">
        <w:rPr>
          <w:rFonts w:cs="Arial"/>
          <w:szCs w:val="24"/>
        </w:rPr>
        <w:t>m</w:t>
      </w:r>
      <w:r>
        <w:rPr>
          <w:rFonts w:cs="Arial"/>
          <w:szCs w:val="24"/>
        </w:rPr>
        <w:t xml:space="preserve"> and will provide a revenue saving of </w:t>
      </w:r>
      <w:r w:rsidRPr="00BD6D41">
        <w:rPr>
          <w:rFonts w:cs="Arial"/>
          <w:szCs w:val="24"/>
        </w:rPr>
        <w:t>£</w:t>
      </w:r>
      <w:r w:rsidR="00941485">
        <w:rPr>
          <w:rFonts w:cs="Arial"/>
          <w:szCs w:val="24"/>
        </w:rPr>
        <w:t>286</w:t>
      </w:r>
      <w:r w:rsidR="005F2B0D" w:rsidRPr="00BD6D41">
        <w:rPr>
          <w:rFonts w:cs="Arial"/>
          <w:szCs w:val="24"/>
        </w:rPr>
        <w:t>k</w:t>
      </w:r>
      <w:r w:rsidRPr="009F247A">
        <w:rPr>
          <w:rFonts w:cs="Arial"/>
          <w:szCs w:val="24"/>
        </w:rPr>
        <w:t xml:space="preserve"> per annum.</w:t>
      </w:r>
      <w:r w:rsidR="00C41A42">
        <w:rPr>
          <w:rFonts w:cs="Arial"/>
          <w:szCs w:val="24"/>
        </w:rPr>
        <w:t xml:space="preserve"> Of th</w:t>
      </w:r>
      <w:r w:rsidR="002353E1">
        <w:rPr>
          <w:rFonts w:cs="Arial"/>
          <w:szCs w:val="24"/>
        </w:rPr>
        <w:t>e total budget of £2.</w:t>
      </w:r>
      <w:r w:rsidR="00941485">
        <w:rPr>
          <w:rFonts w:cs="Arial"/>
          <w:szCs w:val="24"/>
        </w:rPr>
        <w:t>124</w:t>
      </w:r>
      <w:r w:rsidR="002353E1">
        <w:rPr>
          <w:rFonts w:cs="Arial"/>
          <w:szCs w:val="24"/>
        </w:rPr>
        <w:t>m</w:t>
      </w:r>
      <w:r w:rsidR="00C41A42">
        <w:rPr>
          <w:rFonts w:cs="Arial"/>
          <w:szCs w:val="24"/>
        </w:rPr>
        <w:t xml:space="preserve">, </w:t>
      </w:r>
      <w:r w:rsidR="002353E1">
        <w:rPr>
          <w:rFonts w:cs="Arial"/>
          <w:szCs w:val="24"/>
        </w:rPr>
        <w:t>£</w:t>
      </w:r>
      <w:r w:rsidR="00941485">
        <w:rPr>
          <w:rFonts w:cs="Arial"/>
          <w:szCs w:val="24"/>
        </w:rPr>
        <w:t>1.674</w:t>
      </w:r>
      <w:r w:rsidR="002353E1">
        <w:rPr>
          <w:rFonts w:cs="Arial"/>
          <w:szCs w:val="24"/>
        </w:rPr>
        <w:t xml:space="preserve">m is a reduction in </w:t>
      </w:r>
      <w:r w:rsidR="00BD6D41">
        <w:rPr>
          <w:rFonts w:cs="Arial"/>
          <w:szCs w:val="24"/>
        </w:rPr>
        <w:t xml:space="preserve">the </w:t>
      </w:r>
      <w:r w:rsidR="002353E1">
        <w:rPr>
          <w:rFonts w:cs="Arial"/>
          <w:szCs w:val="24"/>
        </w:rPr>
        <w:t xml:space="preserve">2023/24 Capital Programme which is </w:t>
      </w:r>
      <w:r w:rsidR="00BD6D41">
        <w:rPr>
          <w:rFonts w:cs="Arial"/>
          <w:szCs w:val="24"/>
        </w:rPr>
        <w:t>reported</w:t>
      </w:r>
      <w:r w:rsidR="002353E1">
        <w:rPr>
          <w:rFonts w:cs="Arial"/>
          <w:szCs w:val="24"/>
        </w:rPr>
        <w:t xml:space="preserve"> in the Q2 Budget Monitoring report</w:t>
      </w:r>
      <w:r w:rsidR="00BD6D41">
        <w:rPr>
          <w:rFonts w:cs="Arial"/>
          <w:szCs w:val="24"/>
        </w:rPr>
        <w:t xml:space="preserve"> being presented in </w:t>
      </w:r>
      <w:r w:rsidR="002353E1">
        <w:rPr>
          <w:rFonts w:cs="Arial"/>
          <w:szCs w:val="24"/>
        </w:rPr>
        <w:t xml:space="preserve">the same Cabinet meeting, and </w:t>
      </w:r>
      <w:r w:rsidR="00C41A42">
        <w:rPr>
          <w:rFonts w:cs="Arial"/>
          <w:szCs w:val="24"/>
        </w:rPr>
        <w:t>£450k</w:t>
      </w:r>
      <w:r w:rsidR="00691138">
        <w:rPr>
          <w:rFonts w:cs="Arial"/>
          <w:szCs w:val="24"/>
        </w:rPr>
        <w:t xml:space="preserve"> is the net reduction in 2024/25 and 2025/26 which forms part of the Draft Capital Programme for the next 3 years.</w:t>
      </w:r>
      <w:r w:rsidR="00C41A42">
        <w:rPr>
          <w:rFonts w:cs="Arial"/>
          <w:szCs w:val="24"/>
        </w:rPr>
        <w:t xml:space="preserve"> </w:t>
      </w:r>
      <w:r w:rsidR="001271F2" w:rsidRPr="009F247A">
        <w:rPr>
          <w:rFonts w:cs="Arial"/>
          <w:szCs w:val="24"/>
        </w:rPr>
        <w:t xml:space="preserve"> </w:t>
      </w:r>
      <w:r w:rsidR="0067433B" w:rsidRPr="009F247A">
        <w:rPr>
          <w:rFonts w:cs="Arial"/>
          <w:szCs w:val="24"/>
        </w:rPr>
        <w:t>Table 2</w:t>
      </w:r>
      <w:r w:rsidR="0067433B">
        <w:rPr>
          <w:rFonts w:cs="Arial"/>
          <w:szCs w:val="24"/>
        </w:rPr>
        <w:t xml:space="preserve"> provides a list of projects with budget </w:t>
      </w:r>
      <w:r w:rsidR="007A56B6">
        <w:rPr>
          <w:rFonts w:cs="Arial"/>
          <w:szCs w:val="24"/>
        </w:rPr>
        <w:t>variances</w:t>
      </w:r>
      <w:r w:rsidR="00EE1D57">
        <w:rPr>
          <w:rFonts w:cs="Arial"/>
          <w:szCs w:val="24"/>
        </w:rPr>
        <w:t xml:space="preserve"> following the Capital Programme Review</w:t>
      </w:r>
      <w:r w:rsidR="0067433B">
        <w:rPr>
          <w:rFonts w:cs="Arial"/>
          <w:szCs w:val="24"/>
        </w:rPr>
        <w:t xml:space="preserve">, and </w:t>
      </w:r>
      <w:r w:rsidR="0067433B" w:rsidRPr="009F247A">
        <w:rPr>
          <w:rFonts w:cs="Arial"/>
          <w:szCs w:val="24"/>
        </w:rPr>
        <w:t>Table 3</w:t>
      </w:r>
      <w:r w:rsidR="0067433B">
        <w:rPr>
          <w:rFonts w:cs="Arial"/>
          <w:szCs w:val="24"/>
        </w:rPr>
        <w:t xml:space="preserve"> shows the impact of this on capital financing costs.</w:t>
      </w:r>
    </w:p>
    <w:p w14:paraId="4C324F80" w14:textId="4120BC77" w:rsidR="00DB7535" w:rsidRDefault="00DB7535" w:rsidP="00DB7535">
      <w:pPr>
        <w:tabs>
          <w:tab w:val="num" w:pos="1985"/>
        </w:tabs>
        <w:spacing w:after="120"/>
        <w:jc w:val="both"/>
        <w:rPr>
          <w:rFonts w:cs="Arial"/>
          <w:szCs w:val="24"/>
        </w:rPr>
      </w:pPr>
    </w:p>
    <w:p w14:paraId="1FEAE857" w14:textId="11E0138C" w:rsidR="00DB7535" w:rsidRDefault="00DB7535" w:rsidP="00DB7535">
      <w:pPr>
        <w:tabs>
          <w:tab w:val="num" w:pos="1985"/>
        </w:tabs>
        <w:spacing w:after="120"/>
        <w:jc w:val="both"/>
        <w:rPr>
          <w:rFonts w:cs="Arial"/>
          <w:szCs w:val="24"/>
        </w:rPr>
      </w:pPr>
    </w:p>
    <w:p w14:paraId="5C5A8F57" w14:textId="1939E043" w:rsidR="00DB7535" w:rsidRDefault="00DB7535" w:rsidP="00DB7535">
      <w:pPr>
        <w:tabs>
          <w:tab w:val="num" w:pos="1985"/>
        </w:tabs>
        <w:spacing w:after="120"/>
        <w:jc w:val="both"/>
        <w:rPr>
          <w:rFonts w:cs="Arial"/>
          <w:szCs w:val="24"/>
        </w:rPr>
      </w:pPr>
    </w:p>
    <w:p w14:paraId="5C5D3425" w14:textId="7EA6460E" w:rsidR="00DB7535" w:rsidRDefault="00DB7535" w:rsidP="00DB7535">
      <w:pPr>
        <w:tabs>
          <w:tab w:val="num" w:pos="1985"/>
        </w:tabs>
        <w:spacing w:after="120"/>
        <w:jc w:val="both"/>
        <w:rPr>
          <w:rFonts w:cs="Arial"/>
          <w:szCs w:val="24"/>
        </w:rPr>
      </w:pPr>
    </w:p>
    <w:p w14:paraId="4BDA8664" w14:textId="1962752F" w:rsidR="00DB7535" w:rsidRDefault="00DB7535" w:rsidP="00DB7535">
      <w:pPr>
        <w:tabs>
          <w:tab w:val="num" w:pos="1985"/>
        </w:tabs>
        <w:spacing w:after="120"/>
        <w:jc w:val="both"/>
        <w:rPr>
          <w:rFonts w:cs="Arial"/>
          <w:szCs w:val="24"/>
        </w:rPr>
      </w:pPr>
    </w:p>
    <w:p w14:paraId="71365128" w14:textId="77777777" w:rsidR="00DB7535" w:rsidRDefault="00DB7535" w:rsidP="00DB7535">
      <w:pPr>
        <w:tabs>
          <w:tab w:val="num" w:pos="1985"/>
        </w:tabs>
        <w:spacing w:after="120"/>
        <w:jc w:val="both"/>
        <w:rPr>
          <w:rFonts w:cs="Arial"/>
          <w:szCs w:val="24"/>
        </w:rPr>
      </w:pPr>
    </w:p>
    <w:p w14:paraId="7CFCA329" w14:textId="458A3933" w:rsidR="0067433B" w:rsidRPr="0067433B" w:rsidRDefault="0067433B" w:rsidP="0067433B">
      <w:pPr>
        <w:tabs>
          <w:tab w:val="num" w:pos="1985"/>
        </w:tabs>
        <w:spacing w:after="120"/>
        <w:ind w:left="567"/>
        <w:jc w:val="both"/>
        <w:rPr>
          <w:rFonts w:cs="Arial"/>
          <w:b/>
          <w:bCs/>
          <w:szCs w:val="24"/>
        </w:rPr>
      </w:pPr>
      <w:r w:rsidRPr="0067433B">
        <w:rPr>
          <w:rFonts w:cs="Arial"/>
          <w:b/>
          <w:bCs/>
          <w:szCs w:val="24"/>
        </w:rPr>
        <w:lastRenderedPageBreak/>
        <w:t xml:space="preserve">Table 2 – A list of projects with budget </w:t>
      </w:r>
      <w:r w:rsidR="007A56B6">
        <w:rPr>
          <w:rFonts w:cs="Arial"/>
          <w:b/>
          <w:bCs/>
          <w:szCs w:val="24"/>
        </w:rPr>
        <w:t xml:space="preserve">variances </w:t>
      </w:r>
      <w:r w:rsidRPr="0067433B">
        <w:rPr>
          <w:rFonts w:cs="Arial"/>
          <w:b/>
          <w:bCs/>
          <w:szCs w:val="24"/>
        </w:rPr>
        <w:t xml:space="preserve">following Capital Programme </w:t>
      </w:r>
      <w:r w:rsidR="009F247A">
        <w:rPr>
          <w:rFonts w:cs="Arial"/>
          <w:b/>
          <w:bCs/>
          <w:szCs w:val="24"/>
        </w:rPr>
        <w:t>R</w:t>
      </w:r>
      <w:r w:rsidRPr="0067433B">
        <w:rPr>
          <w:rFonts w:cs="Arial"/>
          <w:b/>
          <w:bCs/>
          <w:szCs w:val="24"/>
        </w:rPr>
        <w:t>eview</w:t>
      </w:r>
    </w:p>
    <w:tbl>
      <w:tblPr>
        <w:tblStyle w:val="TableGrid"/>
        <w:tblW w:w="0" w:type="auto"/>
        <w:tblInd w:w="567" w:type="dxa"/>
        <w:tblLook w:val="04A0" w:firstRow="1" w:lastRow="0" w:firstColumn="1" w:lastColumn="0" w:noHBand="0" w:noVBand="1"/>
      </w:tblPr>
      <w:tblGrid>
        <w:gridCol w:w="3539"/>
        <w:gridCol w:w="1134"/>
        <w:gridCol w:w="1134"/>
        <w:gridCol w:w="1134"/>
        <w:gridCol w:w="1129"/>
      </w:tblGrid>
      <w:tr w:rsidR="005F2B0D" w:rsidRPr="005F2B0D" w14:paraId="69584CA0" w14:textId="77777777" w:rsidTr="005F2B0D">
        <w:tc>
          <w:tcPr>
            <w:tcW w:w="3539" w:type="dxa"/>
          </w:tcPr>
          <w:p w14:paraId="6DE2ED02" w14:textId="4E35498D" w:rsidR="005F2B0D" w:rsidRPr="005F2B0D" w:rsidRDefault="005F2B0D" w:rsidP="005F2B0D">
            <w:pPr>
              <w:tabs>
                <w:tab w:val="num" w:pos="1985"/>
              </w:tabs>
              <w:spacing w:after="120"/>
              <w:rPr>
                <w:rFonts w:cs="Arial"/>
                <w:b/>
                <w:bCs/>
                <w:szCs w:val="24"/>
              </w:rPr>
            </w:pPr>
            <w:r w:rsidRPr="005F2B0D">
              <w:rPr>
                <w:rFonts w:cs="Arial"/>
                <w:b/>
                <w:bCs/>
                <w:szCs w:val="24"/>
              </w:rPr>
              <w:t>Project</w:t>
            </w:r>
          </w:p>
        </w:tc>
        <w:tc>
          <w:tcPr>
            <w:tcW w:w="1134" w:type="dxa"/>
          </w:tcPr>
          <w:p w14:paraId="35AB4BC8" w14:textId="45E48ABB" w:rsidR="005F2B0D" w:rsidRPr="005F2B0D" w:rsidRDefault="005F2B0D" w:rsidP="005F2B0D">
            <w:pPr>
              <w:tabs>
                <w:tab w:val="num" w:pos="1985"/>
              </w:tabs>
              <w:spacing w:after="120"/>
              <w:jc w:val="center"/>
              <w:rPr>
                <w:rFonts w:cs="Arial"/>
                <w:b/>
                <w:bCs/>
                <w:szCs w:val="24"/>
              </w:rPr>
            </w:pPr>
            <w:r w:rsidRPr="005F2B0D">
              <w:rPr>
                <w:rFonts w:cs="Arial"/>
                <w:b/>
                <w:bCs/>
                <w:szCs w:val="24"/>
              </w:rPr>
              <w:t>2023/24 £’000</w:t>
            </w:r>
          </w:p>
        </w:tc>
        <w:tc>
          <w:tcPr>
            <w:tcW w:w="1134" w:type="dxa"/>
          </w:tcPr>
          <w:p w14:paraId="0786FA6C" w14:textId="1BD71F72" w:rsidR="005F2B0D" w:rsidRPr="005F2B0D" w:rsidRDefault="005F2B0D" w:rsidP="005F2B0D">
            <w:pPr>
              <w:tabs>
                <w:tab w:val="num" w:pos="1985"/>
              </w:tabs>
              <w:spacing w:after="120"/>
              <w:jc w:val="center"/>
              <w:rPr>
                <w:rFonts w:cs="Arial"/>
                <w:b/>
                <w:bCs/>
                <w:szCs w:val="24"/>
              </w:rPr>
            </w:pPr>
            <w:r w:rsidRPr="005F2B0D">
              <w:rPr>
                <w:rFonts w:cs="Arial"/>
                <w:b/>
                <w:bCs/>
                <w:szCs w:val="24"/>
              </w:rPr>
              <w:t>2024/25 £’000</w:t>
            </w:r>
          </w:p>
        </w:tc>
        <w:tc>
          <w:tcPr>
            <w:tcW w:w="1134" w:type="dxa"/>
          </w:tcPr>
          <w:p w14:paraId="6041AEA4" w14:textId="76C308A6" w:rsidR="005F2B0D" w:rsidRPr="005F2B0D" w:rsidRDefault="005F2B0D" w:rsidP="005F2B0D">
            <w:pPr>
              <w:tabs>
                <w:tab w:val="num" w:pos="1985"/>
              </w:tabs>
              <w:spacing w:after="120"/>
              <w:jc w:val="center"/>
              <w:rPr>
                <w:rFonts w:cs="Arial"/>
                <w:b/>
                <w:bCs/>
                <w:szCs w:val="24"/>
              </w:rPr>
            </w:pPr>
            <w:r w:rsidRPr="005F2B0D">
              <w:rPr>
                <w:rFonts w:cs="Arial"/>
                <w:b/>
                <w:bCs/>
                <w:szCs w:val="24"/>
              </w:rPr>
              <w:t>2025/26 £’000</w:t>
            </w:r>
          </w:p>
        </w:tc>
        <w:tc>
          <w:tcPr>
            <w:tcW w:w="1129" w:type="dxa"/>
          </w:tcPr>
          <w:p w14:paraId="52D5A643" w14:textId="513D3A6D" w:rsidR="005F2B0D" w:rsidRPr="005F2B0D" w:rsidRDefault="005F2B0D" w:rsidP="005F2B0D">
            <w:pPr>
              <w:tabs>
                <w:tab w:val="num" w:pos="1985"/>
              </w:tabs>
              <w:spacing w:after="120"/>
              <w:jc w:val="center"/>
              <w:rPr>
                <w:rFonts w:cs="Arial"/>
                <w:b/>
                <w:bCs/>
                <w:szCs w:val="24"/>
              </w:rPr>
            </w:pPr>
            <w:r w:rsidRPr="005F2B0D">
              <w:rPr>
                <w:rFonts w:cs="Arial"/>
                <w:b/>
                <w:bCs/>
                <w:szCs w:val="24"/>
              </w:rPr>
              <w:t xml:space="preserve">Total £’000 </w:t>
            </w:r>
          </w:p>
        </w:tc>
      </w:tr>
      <w:tr w:rsidR="007A56B6" w14:paraId="2960EBD1" w14:textId="77777777" w:rsidTr="005F2B0D">
        <w:tc>
          <w:tcPr>
            <w:tcW w:w="3539" w:type="dxa"/>
          </w:tcPr>
          <w:p w14:paraId="3A718CD5" w14:textId="57B39A14" w:rsidR="007A56B6" w:rsidRPr="007A56B6" w:rsidRDefault="007A56B6" w:rsidP="0067433B">
            <w:pPr>
              <w:tabs>
                <w:tab w:val="num" w:pos="1985"/>
              </w:tabs>
              <w:spacing w:after="120"/>
              <w:jc w:val="both"/>
              <w:rPr>
                <w:rFonts w:cs="Arial"/>
                <w:szCs w:val="24"/>
              </w:rPr>
            </w:pPr>
            <w:r w:rsidRPr="007A56B6">
              <w:rPr>
                <w:rFonts w:cs="Arial"/>
                <w:szCs w:val="24"/>
              </w:rPr>
              <w:t>Ongoing ICT Refresh and Enhancements</w:t>
            </w:r>
          </w:p>
        </w:tc>
        <w:tc>
          <w:tcPr>
            <w:tcW w:w="1134" w:type="dxa"/>
          </w:tcPr>
          <w:p w14:paraId="3134ABDC" w14:textId="1A633C90" w:rsidR="007A56B6" w:rsidRDefault="007A56B6" w:rsidP="007A56B6">
            <w:pPr>
              <w:tabs>
                <w:tab w:val="num" w:pos="1985"/>
              </w:tabs>
              <w:spacing w:after="120"/>
              <w:jc w:val="right"/>
              <w:rPr>
                <w:rFonts w:cs="Arial"/>
                <w:szCs w:val="24"/>
              </w:rPr>
            </w:pPr>
            <w:r>
              <w:rPr>
                <w:rFonts w:cs="Arial"/>
                <w:szCs w:val="24"/>
              </w:rPr>
              <w:t>-</w:t>
            </w:r>
            <w:r w:rsidR="00834BE8">
              <w:rPr>
                <w:rFonts w:cs="Arial"/>
                <w:szCs w:val="24"/>
              </w:rPr>
              <w:t>150</w:t>
            </w:r>
          </w:p>
        </w:tc>
        <w:tc>
          <w:tcPr>
            <w:tcW w:w="1134" w:type="dxa"/>
          </w:tcPr>
          <w:p w14:paraId="4CB1E0A7" w14:textId="77777777" w:rsidR="007A56B6" w:rsidRDefault="007A56B6" w:rsidP="007A56B6">
            <w:pPr>
              <w:tabs>
                <w:tab w:val="num" w:pos="1985"/>
              </w:tabs>
              <w:spacing w:after="120"/>
              <w:jc w:val="right"/>
              <w:rPr>
                <w:rFonts w:cs="Arial"/>
                <w:szCs w:val="24"/>
              </w:rPr>
            </w:pPr>
          </w:p>
        </w:tc>
        <w:tc>
          <w:tcPr>
            <w:tcW w:w="1134" w:type="dxa"/>
          </w:tcPr>
          <w:p w14:paraId="5F043651" w14:textId="77777777" w:rsidR="007A56B6" w:rsidRDefault="007A56B6" w:rsidP="007A56B6">
            <w:pPr>
              <w:tabs>
                <w:tab w:val="num" w:pos="1985"/>
              </w:tabs>
              <w:spacing w:after="120"/>
              <w:jc w:val="right"/>
              <w:rPr>
                <w:rFonts w:cs="Arial"/>
                <w:szCs w:val="24"/>
              </w:rPr>
            </w:pPr>
          </w:p>
        </w:tc>
        <w:tc>
          <w:tcPr>
            <w:tcW w:w="1129" w:type="dxa"/>
          </w:tcPr>
          <w:p w14:paraId="3FA49E7D" w14:textId="43FE7582" w:rsidR="007A56B6" w:rsidRPr="00B26F7A" w:rsidRDefault="007A56B6" w:rsidP="007A56B6">
            <w:pPr>
              <w:tabs>
                <w:tab w:val="num" w:pos="1985"/>
              </w:tabs>
              <w:spacing w:after="120"/>
              <w:jc w:val="right"/>
              <w:rPr>
                <w:rFonts w:cs="Arial"/>
                <w:b/>
                <w:bCs/>
                <w:szCs w:val="24"/>
              </w:rPr>
            </w:pPr>
            <w:r w:rsidRPr="00B26F7A">
              <w:rPr>
                <w:rFonts w:cs="Arial"/>
                <w:b/>
                <w:bCs/>
                <w:szCs w:val="24"/>
              </w:rPr>
              <w:t>-</w:t>
            </w:r>
            <w:r w:rsidR="00834BE8">
              <w:rPr>
                <w:rFonts w:cs="Arial"/>
                <w:b/>
                <w:bCs/>
                <w:szCs w:val="24"/>
              </w:rPr>
              <w:t>150</w:t>
            </w:r>
          </w:p>
        </w:tc>
      </w:tr>
      <w:tr w:rsidR="007A56B6" w14:paraId="31C8BFBA" w14:textId="77777777" w:rsidTr="005F2B0D">
        <w:tc>
          <w:tcPr>
            <w:tcW w:w="3539" w:type="dxa"/>
          </w:tcPr>
          <w:p w14:paraId="4A61F0C4" w14:textId="5BB3D715" w:rsidR="007A56B6" w:rsidRPr="007A56B6" w:rsidRDefault="007A56B6" w:rsidP="0067433B">
            <w:pPr>
              <w:tabs>
                <w:tab w:val="num" w:pos="1985"/>
              </w:tabs>
              <w:spacing w:after="120"/>
              <w:jc w:val="both"/>
              <w:rPr>
                <w:rFonts w:cs="Arial"/>
                <w:szCs w:val="24"/>
              </w:rPr>
            </w:pPr>
            <w:r w:rsidRPr="007A56B6">
              <w:rPr>
                <w:rFonts w:cs="Arial"/>
                <w:szCs w:val="24"/>
              </w:rPr>
              <w:t>New Council Head Office refit – Flexible Futures</w:t>
            </w:r>
          </w:p>
        </w:tc>
        <w:tc>
          <w:tcPr>
            <w:tcW w:w="1134" w:type="dxa"/>
          </w:tcPr>
          <w:p w14:paraId="2A5E7CC0" w14:textId="77777777" w:rsidR="007A56B6" w:rsidRDefault="007A56B6" w:rsidP="007A56B6">
            <w:pPr>
              <w:tabs>
                <w:tab w:val="num" w:pos="1985"/>
              </w:tabs>
              <w:spacing w:after="120"/>
              <w:jc w:val="right"/>
              <w:rPr>
                <w:rFonts w:cs="Arial"/>
                <w:szCs w:val="24"/>
              </w:rPr>
            </w:pPr>
          </w:p>
        </w:tc>
        <w:tc>
          <w:tcPr>
            <w:tcW w:w="1134" w:type="dxa"/>
          </w:tcPr>
          <w:p w14:paraId="05E49AA9" w14:textId="0DA16D63" w:rsidR="007A56B6" w:rsidRDefault="007A56B6" w:rsidP="007A56B6">
            <w:pPr>
              <w:tabs>
                <w:tab w:val="num" w:pos="1985"/>
              </w:tabs>
              <w:spacing w:after="120"/>
              <w:jc w:val="right"/>
              <w:rPr>
                <w:rFonts w:cs="Arial"/>
                <w:szCs w:val="24"/>
              </w:rPr>
            </w:pPr>
            <w:r>
              <w:rPr>
                <w:rFonts w:cs="Arial"/>
                <w:szCs w:val="24"/>
              </w:rPr>
              <w:t>-150</w:t>
            </w:r>
          </w:p>
        </w:tc>
        <w:tc>
          <w:tcPr>
            <w:tcW w:w="1134" w:type="dxa"/>
          </w:tcPr>
          <w:p w14:paraId="2E0DEEC2" w14:textId="6AAA3B32" w:rsidR="007A56B6" w:rsidRDefault="007A56B6" w:rsidP="007A56B6">
            <w:pPr>
              <w:tabs>
                <w:tab w:val="num" w:pos="1985"/>
              </w:tabs>
              <w:spacing w:after="120"/>
              <w:jc w:val="right"/>
              <w:rPr>
                <w:rFonts w:cs="Arial"/>
                <w:szCs w:val="24"/>
              </w:rPr>
            </w:pPr>
            <w:r>
              <w:rPr>
                <w:rFonts w:cs="Arial"/>
                <w:szCs w:val="24"/>
              </w:rPr>
              <w:t>-400</w:t>
            </w:r>
          </w:p>
        </w:tc>
        <w:tc>
          <w:tcPr>
            <w:tcW w:w="1129" w:type="dxa"/>
          </w:tcPr>
          <w:p w14:paraId="678D4624" w14:textId="61FB7363" w:rsidR="007A56B6" w:rsidRPr="00B26F7A" w:rsidRDefault="007A56B6" w:rsidP="007A56B6">
            <w:pPr>
              <w:tabs>
                <w:tab w:val="num" w:pos="1985"/>
              </w:tabs>
              <w:spacing w:after="120"/>
              <w:jc w:val="right"/>
              <w:rPr>
                <w:rFonts w:cs="Arial"/>
                <w:b/>
                <w:bCs/>
                <w:szCs w:val="24"/>
              </w:rPr>
            </w:pPr>
            <w:r w:rsidRPr="00B26F7A">
              <w:rPr>
                <w:rFonts w:cs="Arial"/>
                <w:b/>
                <w:bCs/>
                <w:szCs w:val="24"/>
              </w:rPr>
              <w:t>-550</w:t>
            </w:r>
          </w:p>
        </w:tc>
      </w:tr>
      <w:tr w:rsidR="007A56B6" w14:paraId="7D4BE62B" w14:textId="77777777" w:rsidTr="005F2B0D">
        <w:tc>
          <w:tcPr>
            <w:tcW w:w="3539" w:type="dxa"/>
          </w:tcPr>
          <w:p w14:paraId="5B797559" w14:textId="1A0FA263" w:rsidR="007A56B6" w:rsidRPr="007A56B6" w:rsidRDefault="007A56B6" w:rsidP="0067433B">
            <w:pPr>
              <w:tabs>
                <w:tab w:val="num" w:pos="1985"/>
              </w:tabs>
              <w:spacing w:after="120"/>
              <w:jc w:val="both"/>
              <w:rPr>
                <w:rFonts w:cs="Arial"/>
                <w:szCs w:val="24"/>
              </w:rPr>
            </w:pPr>
            <w:r w:rsidRPr="007A56B6">
              <w:rPr>
                <w:rFonts w:cs="Arial"/>
                <w:szCs w:val="24"/>
              </w:rPr>
              <w:t>Ongoing ICT Refresh - to include core Network upgrade and Migration of remaining azure applications into SaaS.</w:t>
            </w:r>
          </w:p>
        </w:tc>
        <w:tc>
          <w:tcPr>
            <w:tcW w:w="1134" w:type="dxa"/>
          </w:tcPr>
          <w:p w14:paraId="5D97CFBE" w14:textId="77777777" w:rsidR="007A56B6" w:rsidRDefault="007A56B6" w:rsidP="007A56B6">
            <w:pPr>
              <w:tabs>
                <w:tab w:val="num" w:pos="1985"/>
              </w:tabs>
              <w:spacing w:after="120"/>
              <w:jc w:val="right"/>
              <w:rPr>
                <w:rFonts w:cs="Arial"/>
                <w:szCs w:val="24"/>
              </w:rPr>
            </w:pPr>
          </w:p>
        </w:tc>
        <w:tc>
          <w:tcPr>
            <w:tcW w:w="1134" w:type="dxa"/>
          </w:tcPr>
          <w:p w14:paraId="240981E5" w14:textId="17FF11F9" w:rsidR="007A56B6" w:rsidRDefault="007A56B6" w:rsidP="007A56B6">
            <w:pPr>
              <w:tabs>
                <w:tab w:val="num" w:pos="1985"/>
              </w:tabs>
              <w:spacing w:after="120"/>
              <w:jc w:val="right"/>
              <w:rPr>
                <w:rFonts w:cs="Arial"/>
                <w:szCs w:val="24"/>
              </w:rPr>
            </w:pPr>
            <w:r>
              <w:rPr>
                <w:rFonts w:cs="Arial"/>
                <w:szCs w:val="24"/>
              </w:rPr>
              <w:t>-500</w:t>
            </w:r>
          </w:p>
        </w:tc>
        <w:tc>
          <w:tcPr>
            <w:tcW w:w="1134" w:type="dxa"/>
          </w:tcPr>
          <w:p w14:paraId="1BC8E7D0" w14:textId="60080C1E" w:rsidR="007A56B6" w:rsidRDefault="007A56B6" w:rsidP="007A56B6">
            <w:pPr>
              <w:tabs>
                <w:tab w:val="num" w:pos="1985"/>
              </w:tabs>
              <w:spacing w:after="120"/>
              <w:jc w:val="right"/>
              <w:rPr>
                <w:rFonts w:cs="Arial"/>
                <w:szCs w:val="24"/>
              </w:rPr>
            </w:pPr>
            <w:r>
              <w:rPr>
                <w:rFonts w:cs="Arial"/>
                <w:szCs w:val="24"/>
              </w:rPr>
              <w:t>100</w:t>
            </w:r>
          </w:p>
        </w:tc>
        <w:tc>
          <w:tcPr>
            <w:tcW w:w="1129" w:type="dxa"/>
          </w:tcPr>
          <w:p w14:paraId="0571E431" w14:textId="72D67918" w:rsidR="007A56B6" w:rsidRPr="00B26F7A" w:rsidRDefault="007A56B6" w:rsidP="007A56B6">
            <w:pPr>
              <w:tabs>
                <w:tab w:val="num" w:pos="1985"/>
              </w:tabs>
              <w:spacing w:after="120"/>
              <w:jc w:val="right"/>
              <w:rPr>
                <w:rFonts w:cs="Arial"/>
                <w:b/>
                <w:bCs/>
                <w:szCs w:val="24"/>
              </w:rPr>
            </w:pPr>
            <w:r w:rsidRPr="00B26F7A">
              <w:rPr>
                <w:rFonts w:cs="Arial"/>
                <w:b/>
                <w:bCs/>
                <w:szCs w:val="24"/>
              </w:rPr>
              <w:t>-400</w:t>
            </w:r>
          </w:p>
        </w:tc>
      </w:tr>
      <w:tr w:rsidR="007A56B6" w14:paraId="0381A61B" w14:textId="77777777" w:rsidTr="005F2B0D">
        <w:tc>
          <w:tcPr>
            <w:tcW w:w="3539" w:type="dxa"/>
          </w:tcPr>
          <w:p w14:paraId="344F4ACE" w14:textId="474638AE" w:rsidR="007A56B6" w:rsidRPr="007A56B6" w:rsidRDefault="007A56B6" w:rsidP="0067433B">
            <w:pPr>
              <w:tabs>
                <w:tab w:val="num" w:pos="1985"/>
              </w:tabs>
              <w:spacing w:after="120"/>
              <w:jc w:val="both"/>
              <w:rPr>
                <w:rFonts w:cs="Arial"/>
                <w:szCs w:val="24"/>
              </w:rPr>
            </w:pPr>
            <w:r w:rsidRPr="007A56B6">
              <w:rPr>
                <w:rFonts w:cs="Arial"/>
                <w:szCs w:val="24"/>
              </w:rPr>
              <w:t>Ongoing ICT refresh - to cover improvements and refresh of cyber security, rolling device and peripheral refresh of IT equipment (W10/O365 &amp; Sharepoint)</w:t>
            </w:r>
          </w:p>
        </w:tc>
        <w:tc>
          <w:tcPr>
            <w:tcW w:w="1134" w:type="dxa"/>
          </w:tcPr>
          <w:p w14:paraId="60F58DB6" w14:textId="77777777" w:rsidR="007A56B6" w:rsidRDefault="007A56B6" w:rsidP="007A56B6">
            <w:pPr>
              <w:tabs>
                <w:tab w:val="num" w:pos="1985"/>
              </w:tabs>
              <w:spacing w:after="120"/>
              <w:jc w:val="right"/>
              <w:rPr>
                <w:rFonts w:cs="Arial"/>
                <w:szCs w:val="24"/>
              </w:rPr>
            </w:pPr>
          </w:p>
        </w:tc>
        <w:tc>
          <w:tcPr>
            <w:tcW w:w="1134" w:type="dxa"/>
          </w:tcPr>
          <w:p w14:paraId="474A66E5" w14:textId="5803529E" w:rsidR="007A56B6" w:rsidRDefault="007A56B6" w:rsidP="007A56B6">
            <w:pPr>
              <w:tabs>
                <w:tab w:val="num" w:pos="1985"/>
              </w:tabs>
              <w:spacing w:after="120"/>
              <w:jc w:val="right"/>
              <w:rPr>
                <w:rFonts w:cs="Arial"/>
                <w:szCs w:val="24"/>
              </w:rPr>
            </w:pPr>
            <w:r>
              <w:rPr>
                <w:rFonts w:cs="Arial"/>
                <w:szCs w:val="24"/>
              </w:rPr>
              <w:t>850</w:t>
            </w:r>
          </w:p>
        </w:tc>
        <w:tc>
          <w:tcPr>
            <w:tcW w:w="1134" w:type="dxa"/>
          </w:tcPr>
          <w:p w14:paraId="0C5A28A0" w14:textId="77777777" w:rsidR="007A56B6" w:rsidRDefault="007A56B6" w:rsidP="007A56B6">
            <w:pPr>
              <w:tabs>
                <w:tab w:val="num" w:pos="1985"/>
              </w:tabs>
              <w:spacing w:after="120"/>
              <w:jc w:val="right"/>
              <w:rPr>
                <w:rFonts w:cs="Arial"/>
                <w:szCs w:val="24"/>
              </w:rPr>
            </w:pPr>
          </w:p>
        </w:tc>
        <w:tc>
          <w:tcPr>
            <w:tcW w:w="1129" w:type="dxa"/>
          </w:tcPr>
          <w:p w14:paraId="79D535E6" w14:textId="713AF4D2" w:rsidR="007A56B6" w:rsidRPr="00B26F7A" w:rsidRDefault="007A56B6" w:rsidP="007A56B6">
            <w:pPr>
              <w:tabs>
                <w:tab w:val="num" w:pos="1985"/>
              </w:tabs>
              <w:spacing w:after="120"/>
              <w:jc w:val="right"/>
              <w:rPr>
                <w:rFonts w:cs="Arial"/>
                <w:b/>
                <w:bCs/>
                <w:szCs w:val="24"/>
              </w:rPr>
            </w:pPr>
            <w:r w:rsidRPr="00B26F7A">
              <w:rPr>
                <w:rFonts w:cs="Arial"/>
                <w:b/>
                <w:bCs/>
                <w:szCs w:val="24"/>
              </w:rPr>
              <w:t>850</w:t>
            </w:r>
          </w:p>
        </w:tc>
      </w:tr>
      <w:tr w:rsidR="007A56B6" w14:paraId="6AD11245" w14:textId="77777777" w:rsidTr="005F2B0D">
        <w:tc>
          <w:tcPr>
            <w:tcW w:w="3539" w:type="dxa"/>
          </w:tcPr>
          <w:p w14:paraId="13091116" w14:textId="045C513B" w:rsidR="007A56B6" w:rsidRPr="007A56B6" w:rsidRDefault="007A56B6" w:rsidP="0067433B">
            <w:pPr>
              <w:tabs>
                <w:tab w:val="num" w:pos="1985"/>
              </w:tabs>
              <w:spacing w:after="120"/>
              <w:jc w:val="both"/>
              <w:rPr>
                <w:rFonts w:cs="Arial"/>
                <w:szCs w:val="24"/>
              </w:rPr>
            </w:pPr>
            <w:r w:rsidRPr="007A56B6">
              <w:rPr>
                <w:rFonts w:cs="Arial"/>
                <w:szCs w:val="24"/>
              </w:rPr>
              <w:t>Ongoing ICT Refresh</w:t>
            </w:r>
          </w:p>
        </w:tc>
        <w:tc>
          <w:tcPr>
            <w:tcW w:w="1134" w:type="dxa"/>
          </w:tcPr>
          <w:p w14:paraId="5DE13DDA" w14:textId="332A8F07" w:rsidR="007A56B6" w:rsidRDefault="007A56B6" w:rsidP="007A56B6">
            <w:pPr>
              <w:tabs>
                <w:tab w:val="num" w:pos="1985"/>
              </w:tabs>
              <w:spacing w:after="120"/>
              <w:jc w:val="right"/>
              <w:rPr>
                <w:rFonts w:cs="Arial"/>
                <w:szCs w:val="24"/>
              </w:rPr>
            </w:pPr>
          </w:p>
        </w:tc>
        <w:tc>
          <w:tcPr>
            <w:tcW w:w="1134" w:type="dxa"/>
          </w:tcPr>
          <w:p w14:paraId="250EAB44" w14:textId="618B186B" w:rsidR="007A56B6" w:rsidRDefault="007A56B6" w:rsidP="007A56B6">
            <w:pPr>
              <w:tabs>
                <w:tab w:val="num" w:pos="1985"/>
              </w:tabs>
              <w:spacing w:after="120"/>
              <w:jc w:val="right"/>
              <w:rPr>
                <w:rFonts w:cs="Arial"/>
                <w:szCs w:val="24"/>
              </w:rPr>
            </w:pPr>
            <w:r>
              <w:rPr>
                <w:rFonts w:cs="Arial"/>
                <w:szCs w:val="24"/>
              </w:rPr>
              <w:t>200</w:t>
            </w:r>
          </w:p>
        </w:tc>
        <w:tc>
          <w:tcPr>
            <w:tcW w:w="1134" w:type="dxa"/>
          </w:tcPr>
          <w:p w14:paraId="3ECD05BA" w14:textId="5E8CBF17" w:rsidR="007A56B6" w:rsidRDefault="007A56B6" w:rsidP="007A56B6">
            <w:pPr>
              <w:tabs>
                <w:tab w:val="num" w:pos="1985"/>
              </w:tabs>
              <w:spacing w:after="120"/>
              <w:jc w:val="right"/>
              <w:rPr>
                <w:rFonts w:cs="Arial"/>
                <w:szCs w:val="24"/>
              </w:rPr>
            </w:pPr>
            <w:r>
              <w:rPr>
                <w:rFonts w:cs="Arial"/>
                <w:szCs w:val="24"/>
              </w:rPr>
              <w:t>-550</w:t>
            </w:r>
          </w:p>
        </w:tc>
        <w:tc>
          <w:tcPr>
            <w:tcW w:w="1129" w:type="dxa"/>
          </w:tcPr>
          <w:p w14:paraId="5A6188FC" w14:textId="44CB5E7E" w:rsidR="007A56B6" w:rsidRPr="00B26F7A" w:rsidRDefault="007A56B6" w:rsidP="007A56B6">
            <w:pPr>
              <w:tabs>
                <w:tab w:val="num" w:pos="1985"/>
              </w:tabs>
              <w:spacing w:after="120"/>
              <w:jc w:val="right"/>
              <w:rPr>
                <w:rFonts w:cs="Arial"/>
                <w:b/>
                <w:bCs/>
                <w:szCs w:val="24"/>
              </w:rPr>
            </w:pPr>
            <w:r w:rsidRPr="00B26F7A">
              <w:rPr>
                <w:rFonts w:cs="Arial"/>
                <w:b/>
                <w:bCs/>
                <w:szCs w:val="24"/>
              </w:rPr>
              <w:t>-</w:t>
            </w:r>
            <w:r w:rsidR="00834BE8">
              <w:rPr>
                <w:rFonts w:cs="Arial"/>
                <w:b/>
                <w:bCs/>
                <w:szCs w:val="24"/>
              </w:rPr>
              <w:t>3</w:t>
            </w:r>
            <w:r w:rsidRPr="00B26F7A">
              <w:rPr>
                <w:rFonts w:cs="Arial"/>
                <w:b/>
                <w:bCs/>
                <w:szCs w:val="24"/>
              </w:rPr>
              <w:t>50</w:t>
            </w:r>
          </w:p>
        </w:tc>
      </w:tr>
      <w:tr w:rsidR="00B26F7A" w14:paraId="748D1390" w14:textId="77777777" w:rsidTr="005F2B0D">
        <w:tc>
          <w:tcPr>
            <w:tcW w:w="3539" w:type="dxa"/>
          </w:tcPr>
          <w:p w14:paraId="70DDCE1D" w14:textId="191F79A3" w:rsidR="00B26F7A" w:rsidRPr="00B26F7A" w:rsidRDefault="00B26F7A" w:rsidP="0067433B">
            <w:pPr>
              <w:tabs>
                <w:tab w:val="num" w:pos="1985"/>
              </w:tabs>
              <w:spacing w:after="120"/>
              <w:jc w:val="both"/>
              <w:rPr>
                <w:rFonts w:cs="Arial"/>
                <w:szCs w:val="24"/>
              </w:rPr>
            </w:pPr>
            <w:r w:rsidRPr="00B26F7A">
              <w:rPr>
                <w:rFonts w:cs="Arial"/>
                <w:szCs w:val="24"/>
              </w:rPr>
              <w:t>Street Lighting Improvement Programme</w:t>
            </w:r>
          </w:p>
        </w:tc>
        <w:tc>
          <w:tcPr>
            <w:tcW w:w="1134" w:type="dxa"/>
          </w:tcPr>
          <w:p w14:paraId="08391753" w14:textId="20F117DD" w:rsidR="00B26F7A" w:rsidRDefault="00B26F7A" w:rsidP="007A56B6">
            <w:pPr>
              <w:tabs>
                <w:tab w:val="num" w:pos="1985"/>
              </w:tabs>
              <w:spacing w:after="120"/>
              <w:jc w:val="right"/>
              <w:rPr>
                <w:rFonts w:cs="Arial"/>
                <w:szCs w:val="24"/>
              </w:rPr>
            </w:pPr>
            <w:r>
              <w:rPr>
                <w:rFonts w:cs="Arial"/>
                <w:szCs w:val="24"/>
              </w:rPr>
              <w:t>-25</w:t>
            </w:r>
          </w:p>
        </w:tc>
        <w:tc>
          <w:tcPr>
            <w:tcW w:w="1134" w:type="dxa"/>
          </w:tcPr>
          <w:p w14:paraId="114092DD" w14:textId="77777777" w:rsidR="00B26F7A" w:rsidRDefault="00B26F7A" w:rsidP="007A56B6">
            <w:pPr>
              <w:tabs>
                <w:tab w:val="num" w:pos="1985"/>
              </w:tabs>
              <w:spacing w:after="120"/>
              <w:jc w:val="right"/>
              <w:rPr>
                <w:rFonts w:cs="Arial"/>
                <w:szCs w:val="24"/>
              </w:rPr>
            </w:pPr>
          </w:p>
        </w:tc>
        <w:tc>
          <w:tcPr>
            <w:tcW w:w="1134" w:type="dxa"/>
          </w:tcPr>
          <w:p w14:paraId="754ED53D" w14:textId="77777777" w:rsidR="00B26F7A" w:rsidRDefault="00B26F7A" w:rsidP="007A56B6">
            <w:pPr>
              <w:tabs>
                <w:tab w:val="num" w:pos="1985"/>
              </w:tabs>
              <w:spacing w:after="120"/>
              <w:jc w:val="right"/>
              <w:rPr>
                <w:rFonts w:cs="Arial"/>
                <w:szCs w:val="24"/>
              </w:rPr>
            </w:pPr>
          </w:p>
        </w:tc>
        <w:tc>
          <w:tcPr>
            <w:tcW w:w="1129" w:type="dxa"/>
          </w:tcPr>
          <w:p w14:paraId="6C5784C3" w14:textId="1F79BAA9" w:rsidR="00B26F7A" w:rsidRPr="00B26F7A" w:rsidRDefault="00B26F7A" w:rsidP="007A56B6">
            <w:pPr>
              <w:tabs>
                <w:tab w:val="num" w:pos="1985"/>
              </w:tabs>
              <w:spacing w:after="120"/>
              <w:jc w:val="right"/>
              <w:rPr>
                <w:rFonts w:cs="Arial"/>
                <w:b/>
                <w:bCs/>
                <w:szCs w:val="24"/>
              </w:rPr>
            </w:pPr>
            <w:r w:rsidRPr="00B26F7A">
              <w:rPr>
                <w:rFonts w:cs="Arial"/>
                <w:b/>
                <w:bCs/>
                <w:szCs w:val="24"/>
              </w:rPr>
              <w:t>-25</w:t>
            </w:r>
          </w:p>
        </w:tc>
      </w:tr>
      <w:tr w:rsidR="00B26F7A" w14:paraId="47CC9CF4" w14:textId="77777777" w:rsidTr="005F2B0D">
        <w:tc>
          <w:tcPr>
            <w:tcW w:w="3539" w:type="dxa"/>
          </w:tcPr>
          <w:p w14:paraId="6BAB6B19" w14:textId="21ED792A" w:rsidR="00B26F7A" w:rsidRPr="00B26F7A" w:rsidRDefault="00B26F7A" w:rsidP="0067433B">
            <w:pPr>
              <w:tabs>
                <w:tab w:val="num" w:pos="1985"/>
              </w:tabs>
              <w:spacing w:after="120"/>
              <w:jc w:val="both"/>
              <w:rPr>
                <w:rFonts w:cs="Arial"/>
                <w:szCs w:val="24"/>
              </w:rPr>
            </w:pPr>
            <w:r w:rsidRPr="00B26F7A">
              <w:rPr>
                <w:rFonts w:cs="Arial"/>
                <w:szCs w:val="24"/>
              </w:rPr>
              <w:t>Harrow High Street Fund</w:t>
            </w:r>
          </w:p>
        </w:tc>
        <w:tc>
          <w:tcPr>
            <w:tcW w:w="1134" w:type="dxa"/>
          </w:tcPr>
          <w:p w14:paraId="2A389BBD" w14:textId="3A0C9B1F" w:rsidR="00B26F7A" w:rsidRDefault="00B26F7A" w:rsidP="007A56B6">
            <w:pPr>
              <w:tabs>
                <w:tab w:val="num" w:pos="1985"/>
              </w:tabs>
              <w:spacing w:after="120"/>
              <w:jc w:val="right"/>
              <w:rPr>
                <w:rFonts w:cs="Arial"/>
                <w:szCs w:val="24"/>
              </w:rPr>
            </w:pPr>
            <w:r>
              <w:rPr>
                <w:rFonts w:cs="Arial"/>
                <w:szCs w:val="24"/>
              </w:rPr>
              <w:t>-527</w:t>
            </w:r>
          </w:p>
        </w:tc>
        <w:tc>
          <w:tcPr>
            <w:tcW w:w="1134" w:type="dxa"/>
          </w:tcPr>
          <w:p w14:paraId="58BB6CAA" w14:textId="77777777" w:rsidR="00B26F7A" w:rsidRDefault="00B26F7A" w:rsidP="007A56B6">
            <w:pPr>
              <w:tabs>
                <w:tab w:val="num" w:pos="1985"/>
              </w:tabs>
              <w:spacing w:after="120"/>
              <w:jc w:val="right"/>
              <w:rPr>
                <w:rFonts w:cs="Arial"/>
                <w:szCs w:val="24"/>
              </w:rPr>
            </w:pPr>
          </w:p>
        </w:tc>
        <w:tc>
          <w:tcPr>
            <w:tcW w:w="1134" w:type="dxa"/>
          </w:tcPr>
          <w:p w14:paraId="294488C8" w14:textId="77777777" w:rsidR="00B26F7A" w:rsidRDefault="00B26F7A" w:rsidP="007A56B6">
            <w:pPr>
              <w:tabs>
                <w:tab w:val="num" w:pos="1985"/>
              </w:tabs>
              <w:spacing w:after="120"/>
              <w:jc w:val="right"/>
              <w:rPr>
                <w:rFonts w:cs="Arial"/>
                <w:szCs w:val="24"/>
              </w:rPr>
            </w:pPr>
          </w:p>
        </w:tc>
        <w:tc>
          <w:tcPr>
            <w:tcW w:w="1129" w:type="dxa"/>
          </w:tcPr>
          <w:p w14:paraId="45401E06" w14:textId="4EC131AF" w:rsidR="00B26F7A" w:rsidRPr="00B26F7A" w:rsidRDefault="00B26F7A" w:rsidP="007A56B6">
            <w:pPr>
              <w:tabs>
                <w:tab w:val="num" w:pos="1985"/>
              </w:tabs>
              <w:spacing w:after="120"/>
              <w:jc w:val="right"/>
              <w:rPr>
                <w:rFonts w:cs="Arial"/>
                <w:b/>
                <w:bCs/>
                <w:szCs w:val="24"/>
              </w:rPr>
            </w:pPr>
            <w:r w:rsidRPr="00B26F7A">
              <w:rPr>
                <w:rFonts w:cs="Arial"/>
                <w:b/>
                <w:bCs/>
                <w:szCs w:val="24"/>
              </w:rPr>
              <w:t>-527</w:t>
            </w:r>
          </w:p>
        </w:tc>
      </w:tr>
      <w:tr w:rsidR="00B26F7A" w14:paraId="294D8C7B" w14:textId="77777777" w:rsidTr="005F2B0D">
        <w:tc>
          <w:tcPr>
            <w:tcW w:w="3539" w:type="dxa"/>
          </w:tcPr>
          <w:p w14:paraId="528294CF" w14:textId="0EB86A71" w:rsidR="00B26F7A" w:rsidRPr="00B26F7A" w:rsidRDefault="00B26F7A" w:rsidP="0067433B">
            <w:pPr>
              <w:tabs>
                <w:tab w:val="num" w:pos="1985"/>
              </w:tabs>
              <w:spacing w:after="120"/>
              <w:jc w:val="both"/>
              <w:rPr>
                <w:rFonts w:cs="Arial"/>
                <w:szCs w:val="24"/>
              </w:rPr>
            </w:pPr>
            <w:r w:rsidRPr="00B26F7A">
              <w:rPr>
                <w:rFonts w:cs="Arial"/>
                <w:szCs w:val="24"/>
              </w:rPr>
              <w:t>High Priority Plan Maintenance Corporate Property</w:t>
            </w:r>
          </w:p>
        </w:tc>
        <w:tc>
          <w:tcPr>
            <w:tcW w:w="1134" w:type="dxa"/>
          </w:tcPr>
          <w:p w14:paraId="7693A1C3" w14:textId="2FD3A7E1" w:rsidR="00B26F7A" w:rsidRDefault="00B26F7A" w:rsidP="007A56B6">
            <w:pPr>
              <w:tabs>
                <w:tab w:val="num" w:pos="1985"/>
              </w:tabs>
              <w:spacing w:after="120"/>
              <w:jc w:val="right"/>
              <w:rPr>
                <w:rFonts w:cs="Arial"/>
                <w:szCs w:val="24"/>
              </w:rPr>
            </w:pPr>
            <w:r>
              <w:rPr>
                <w:rFonts w:cs="Arial"/>
                <w:szCs w:val="24"/>
              </w:rPr>
              <w:t>-912</w:t>
            </w:r>
          </w:p>
        </w:tc>
        <w:tc>
          <w:tcPr>
            <w:tcW w:w="1134" w:type="dxa"/>
          </w:tcPr>
          <w:p w14:paraId="18B1AA82" w14:textId="77777777" w:rsidR="00B26F7A" w:rsidRDefault="00B26F7A" w:rsidP="007A56B6">
            <w:pPr>
              <w:tabs>
                <w:tab w:val="num" w:pos="1985"/>
              </w:tabs>
              <w:spacing w:after="120"/>
              <w:jc w:val="right"/>
              <w:rPr>
                <w:rFonts w:cs="Arial"/>
                <w:szCs w:val="24"/>
              </w:rPr>
            </w:pPr>
          </w:p>
        </w:tc>
        <w:tc>
          <w:tcPr>
            <w:tcW w:w="1134" w:type="dxa"/>
          </w:tcPr>
          <w:p w14:paraId="72E6E9A8" w14:textId="77777777" w:rsidR="00B26F7A" w:rsidRDefault="00B26F7A" w:rsidP="007A56B6">
            <w:pPr>
              <w:tabs>
                <w:tab w:val="num" w:pos="1985"/>
              </w:tabs>
              <w:spacing w:after="120"/>
              <w:jc w:val="right"/>
              <w:rPr>
                <w:rFonts w:cs="Arial"/>
                <w:szCs w:val="24"/>
              </w:rPr>
            </w:pPr>
          </w:p>
        </w:tc>
        <w:tc>
          <w:tcPr>
            <w:tcW w:w="1129" w:type="dxa"/>
          </w:tcPr>
          <w:p w14:paraId="1F9EC739" w14:textId="730E2E1A" w:rsidR="00B26F7A" w:rsidRPr="00B26F7A" w:rsidRDefault="00B26F7A" w:rsidP="007A56B6">
            <w:pPr>
              <w:tabs>
                <w:tab w:val="num" w:pos="1985"/>
              </w:tabs>
              <w:spacing w:after="120"/>
              <w:jc w:val="right"/>
              <w:rPr>
                <w:rFonts w:cs="Arial"/>
                <w:b/>
                <w:bCs/>
                <w:szCs w:val="24"/>
              </w:rPr>
            </w:pPr>
            <w:r w:rsidRPr="00B26F7A">
              <w:rPr>
                <w:rFonts w:cs="Arial"/>
                <w:b/>
                <w:bCs/>
                <w:szCs w:val="24"/>
              </w:rPr>
              <w:t>-912</w:t>
            </w:r>
          </w:p>
        </w:tc>
      </w:tr>
      <w:tr w:rsidR="00691138" w14:paraId="12634AB8" w14:textId="77777777" w:rsidTr="005F2B0D">
        <w:tc>
          <w:tcPr>
            <w:tcW w:w="3539" w:type="dxa"/>
          </w:tcPr>
          <w:p w14:paraId="5F7DEDE7" w14:textId="65848E7E" w:rsidR="00691138" w:rsidRPr="00B26F7A" w:rsidRDefault="00691138" w:rsidP="0067433B">
            <w:pPr>
              <w:tabs>
                <w:tab w:val="num" w:pos="1985"/>
              </w:tabs>
              <w:spacing w:after="120"/>
              <w:jc w:val="both"/>
              <w:rPr>
                <w:rFonts w:cs="Arial"/>
                <w:szCs w:val="24"/>
              </w:rPr>
            </w:pPr>
            <w:r>
              <w:rPr>
                <w:rFonts w:cs="Arial"/>
                <w:szCs w:val="24"/>
              </w:rPr>
              <w:t>Empty Property Grant</w:t>
            </w:r>
          </w:p>
        </w:tc>
        <w:tc>
          <w:tcPr>
            <w:tcW w:w="1134" w:type="dxa"/>
          </w:tcPr>
          <w:p w14:paraId="7D1C989F" w14:textId="20F445D4" w:rsidR="00691138" w:rsidRDefault="00691138" w:rsidP="007A56B6">
            <w:pPr>
              <w:tabs>
                <w:tab w:val="num" w:pos="1985"/>
              </w:tabs>
              <w:spacing w:after="120"/>
              <w:jc w:val="right"/>
              <w:rPr>
                <w:rFonts w:cs="Arial"/>
                <w:szCs w:val="24"/>
              </w:rPr>
            </w:pPr>
            <w:r>
              <w:rPr>
                <w:rFonts w:cs="Arial"/>
                <w:szCs w:val="24"/>
              </w:rPr>
              <w:t>-60</w:t>
            </w:r>
          </w:p>
        </w:tc>
        <w:tc>
          <w:tcPr>
            <w:tcW w:w="1134" w:type="dxa"/>
          </w:tcPr>
          <w:p w14:paraId="4D180692" w14:textId="77777777" w:rsidR="00691138" w:rsidRDefault="00691138" w:rsidP="007A56B6">
            <w:pPr>
              <w:tabs>
                <w:tab w:val="num" w:pos="1985"/>
              </w:tabs>
              <w:spacing w:after="120"/>
              <w:jc w:val="right"/>
              <w:rPr>
                <w:rFonts w:cs="Arial"/>
                <w:szCs w:val="24"/>
              </w:rPr>
            </w:pPr>
          </w:p>
        </w:tc>
        <w:tc>
          <w:tcPr>
            <w:tcW w:w="1134" w:type="dxa"/>
          </w:tcPr>
          <w:p w14:paraId="2DC0DDCA" w14:textId="77777777" w:rsidR="00691138" w:rsidRDefault="00691138" w:rsidP="007A56B6">
            <w:pPr>
              <w:tabs>
                <w:tab w:val="num" w:pos="1985"/>
              </w:tabs>
              <w:spacing w:after="120"/>
              <w:jc w:val="right"/>
              <w:rPr>
                <w:rFonts w:cs="Arial"/>
                <w:szCs w:val="24"/>
              </w:rPr>
            </w:pPr>
          </w:p>
        </w:tc>
        <w:tc>
          <w:tcPr>
            <w:tcW w:w="1129" w:type="dxa"/>
          </w:tcPr>
          <w:p w14:paraId="5B09648D" w14:textId="3F29DD73" w:rsidR="00691138" w:rsidRPr="00B26F7A" w:rsidRDefault="00691138" w:rsidP="007A56B6">
            <w:pPr>
              <w:tabs>
                <w:tab w:val="num" w:pos="1985"/>
              </w:tabs>
              <w:spacing w:after="120"/>
              <w:jc w:val="right"/>
              <w:rPr>
                <w:rFonts w:cs="Arial"/>
                <w:b/>
                <w:bCs/>
                <w:szCs w:val="24"/>
              </w:rPr>
            </w:pPr>
            <w:r>
              <w:rPr>
                <w:rFonts w:cs="Arial"/>
                <w:b/>
                <w:bCs/>
                <w:szCs w:val="24"/>
              </w:rPr>
              <w:t>-60</w:t>
            </w:r>
          </w:p>
        </w:tc>
      </w:tr>
      <w:tr w:rsidR="00B26F7A" w:rsidRPr="00B26F7A" w14:paraId="5FAA1B12" w14:textId="77777777" w:rsidTr="005F2B0D">
        <w:tc>
          <w:tcPr>
            <w:tcW w:w="3539" w:type="dxa"/>
          </w:tcPr>
          <w:p w14:paraId="54D9CA30" w14:textId="0DC7C60B" w:rsidR="00B26F7A" w:rsidRPr="00B26F7A" w:rsidRDefault="00B26F7A" w:rsidP="0067433B">
            <w:pPr>
              <w:tabs>
                <w:tab w:val="num" w:pos="1985"/>
              </w:tabs>
              <w:spacing w:after="120"/>
              <w:jc w:val="both"/>
              <w:rPr>
                <w:rFonts w:cs="Arial"/>
                <w:b/>
                <w:bCs/>
                <w:szCs w:val="24"/>
              </w:rPr>
            </w:pPr>
            <w:r w:rsidRPr="00B26F7A">
              <w:rPr>
                <w:rFonts w:cs="Arial"/>
                <w:b/>
                <w:bCs/>
                <w:szCs w:val="24"/>
              </w:rPr>
              <w:t>Total</w:t>
            </w:r>
            <w:r w:rsidR="009F247A">
              <w:rPr>
                <w:rFonts w:cs="Arial"/>
                <w:b/>
                <w:bCs/>
                <w:szCs w:val="24"/>
              </w:rPr>
              <w:t xml:space="preserve"> capital budget savings</w:t>
            </w:r>
          </w:p>
        </w:tc>
        <w:tc>
          <w:tcPr>
            <w:tcW w:w="1134" w:type="dxa"/>
          </w:tcPr>
          <w:p w14:paraId="422E63D6" w14:textId="1BCD9A1A" w:rsidR="00B26F7A" w:rsidRPr="00B26F7A" w:rsidRDefault="00B26F7A" w:rsidP="007A56B6">
            <w:pPr>
              <w:tabs>
                <w:tab w:val="num" w:pos="1985"/>
              </w:tabs>
              <w:spacing w:after="120"/>
              <w:jc w:val="right"/>
              <w:rPr>
                <w:rFonts w:cs="Arial"/>
                <w:b/>
                <w:bCs/>
                <w:szCs w:val="24"/>
              </w:rPr>
            </w:pPr>
            <w:r w:rsidRPr="00B26F7A">
              <w:rPr>
                <w:rFonts w:cs="Arial"/>
                <w:b/>
                <w:bCs/>
                <w:szCs w:val="24"/>
              </w:rPr>
              <w:t>-</w:t>
            </w:r>
            <w:r w:rsidR="00941485">
              <w:rPr>
                <w:rFonts w:cs="Arial"/>
                <w:b/>
                <w:bCs/>
                <w:szCs w:val="24"/>
              </w:rPr>
              <w:t>1,674</w:t>
            </w:r>
          </w:p>
        </w:tc>
        <w:tc>
          <w:tcPr>
            <w:tcW w:w="1134" w:type="dxa"/>
          </w:tcPr>
          <w:p w14:paraId="08B8EC67" w14:textId="46AAF1E2" w:rsidR="00B26F7A" w:rsidRPr="00B26F7A" w:rsidRDefault="00B26F7A" w:rsidP="007A56B6">
            <w:pPr>
              <w:tabs>
                <w:tab w:val="num" w:pos="1985"/>
              </w:tabs>
              <w:spacing w:after="120"/>
              <w:jc w:val="right"/>
              <w:rPr>
                <w:rFonts w:cs="Arial"/>
                <w:b/>
                <w:bCs/>
                <w:szCs w:val="24"/>
              </w:rPr>
            </w:pPr>
            <w:r w:rsidRPr="00B26F7A">
              <w:rPr>
                <w:rFonts w:cs="Arial"/>
                <w:b/>
                <w:bCs/>
                <w:szCs w:val="24"/>
              </w:rPr>
              <w:t>400</w:t>
            </w:r>
          </w:p>
        </w:tc>
        <w:tc>
          <w:tcPr>
            <w:tcW w:w="1134" w:type="dxa"/>
          </w:tcPr>
          <w:p w14:paraId="3951CEDC" w14:textId="3BB8A442" w:rsidR="00B26F7A" w:rsidRPr="00B26F7A" w:rsidRDefault="00B26F7A" w:rsidP="007A56B6">
            <w:pPr>
              <w:tabs>
                <w:tab w:val="num" w:pos="1985"/>
              </w:tabs>
              <w:spacing w:after="120"/>
              <w:jc w:val="right"/>
              <w:rPr>
                <w:rFonts w:cs="Arial"/>
                <w:b/>
                <w:bCs/>
                <w:szCs w:val="24"/>
              </w:rPr>
            </w:pPr>
            <w:r w:rsidRPr="00B26F7A">
              <w:rPr>
                <w:rFonts w:cs="Arial"/>
                <w:b/>
                <w:bCs/>
                <w:szCs w:val="24"/>
              </w:rPr>
              <w:t>-850</w:t>
            </w:r>
          </w:p>
        </w:tc>
        <w:tc>
          <w:tcPr>
            <w:tcW w:w="1129" w:type="dxa"/>
          </w:tcPr>
          <w:p w14:paraId="1279A48B" w14:textId="399D902B" w:rsidR="00B26F7A" w:rsidRPr="00B26F7A" w:rsidRDefault="00B26F7A" w:rsidP="007A56B6">
            <w:pPr>
              <w:tabs>
                <w:tab w:val="num" w:pos="1985"/>
              </w:tabs>
              <w:spacing w:after="120"/>
              <w:jc w:val="right"/>
              <w:rPr>
                <w:rFonts w:cs="Arial"/>
                <w:b/>
                <w:bCs/>
                <w:szCs w:val="24"/>
              </w:rPr>
            </w:pPr>
            <w:r w:rsidRPr="00B26F7A">
              <w:rPr>
                <w:rFonts w:cs="Arial"/>
                <w:b/>
                <w:bCs/>
                <w:szCs w:val="24"/>
              </w:rPr>
              <w:t>-2,</w:t>
            </w:r>
            <w:r w:rsidR="00941485">
              <w:rPr>
                <w:rFonts w:cs="Arial"/>
                <w:b/>
                <w:bCs/>
                <w:szCs w:val="24"/>
              </w:rPr>
              <w:t>1</w:t>
            </w:r>
            <w:r w:rsidR="00BD6D41">
              <w:rPr>
                <w:rFonts w:cs="Arial"/>
                <w:b/>
                <w:bCs/>
                <w:szCs w:val="24"/>
              </w:rPr>
              <w:t>2</w:t>
            </w:r>
            <w:r w:rsidRPr="00B26F7A">
              <w:rPr>
                <w:rFonts w:cs="Arial"/>
                <w:b/>
                <w:bCs/>
                <w:szCs w:val="24"/>
              </w:rPr>
              <w:t>4</w:t>
            </w:r>
          </w:p>
        </w:tc>
      </w:tr>
    </w:tbl>
    <w:p w14:paraId="3044DE2D" w14:textId="77777777" w:rsidR="002F5A93" w:rsidRDefault="002F5A93" w:rsidP="0067433B">
      <w:pPr>
        <w:tabs>
          <w:tab w:val="num" w:pos="1985"/>
        </w:tabs>
        <w:spacing w:after="120"/>
        <w:ind w:left="567"/>
        <w:jc w:val="both"/>
        <w:rPr>
          <w:rFonts w:cs="Arial"/>
          <w:b/>
          <w:bCs/>
          <w:szCs w:val="24"/>
        </w:rPr>
      </w:pPr>
    </w:p>
    <w:p w14:paraId="424A1EE3" w14:textId="0799BF19" w:rsidR="0067433B" w:rsidRPr="0067433B" w:rsidRDefault="0067433B" w:rsidP="0067433B">
      <w:pPr>
        <w:tabs>
          <w:tab w:val="num" w:pos="1985"/>
        </w:tabs>
        <w:spacing w:after="120"/>
        <w:ind w:left="567"/>
        <w:jc w:val="both"/>
        <w:rPr>
          <w:rFonts w:cs="Arial"/>
          <w:b/>
          <w:bCs/>
          <w:szCs w:val="24"/>
        </w:rPr>
      </w:pPr>
      <w:r w:rsidRPr="0067433B">
        <w:rPr>
          <w:rFonts w:cs="Arial"/>
          <w:b/>
          <w:bCs/>
          <w:szCs w:val="24"/>
        </w:rPr>
        <w:t>Table 3 – Revised capital financing costs</w:t>
      </w:r>
    </w:p>
    <w:tbl>
      <w:tblPr>
        <w:tblStyle w:val="TableGrid"/>
        <w:tblW w:w="0" w:type="auto"/>
        <w:tblInd w:w="567" w:type="dxa"/>
        <w:tblLook w:val="04A0" w:firstRow="1" w:lastRow="0" w:firstColumn="1" w:lastColumn="0" w:noHBand="0" w:noVBand="1"/>
      </w:tblPr>
      <w:tblGrid>
        <w:gridCol w:w="1257"/>
        <w:gridCol w:w="1764"/>
        <w:gridCol w:w="1956"/>
        <w:gridCol w:w="1545"/>
        <w:gridCol w:w="1548"/>
      </w:tblGrid>
      <w:tr w:rsidR="000A7032" w:rsidRPr="00834BE8" w14:paraId="2FAC7BF0" w14:textId="77777777" w:rsidTr="000A7032">
        <w:tc>
          <w:tcPr>
            <w:tcW w:w="1178" w:type="dxa"/>
          </w:tcPr>
          <w:p w14:paraId="23D86754" w14:textId="5A7EE961" w:rsidR="000A7032" w:rsidRPr="00834BE8" w:rsidRDefault="000A7032" w:rsidP="0067433B">
            <w:pPr>
              <w:tabs>
                <w:tab w:val="num" w:pos="1985"/>
              </w:tabs>
              <w:spacing w:after="120"/>
              <w:jc w:val="both"/>
              <w:rPr>
                <w:rFonts w:cs="Arial"/>
                <w:b/>
                <w:bCs/>
                <w:szCs w:val="24"/>
              </w:rPr>
            </w:pPr>
            <w:r w:rsidRPr="00834BE8">
              <w:rPr>
                <w:rFonts w:cs="Arial"/>
                <w:b/>
                <w:bCs/>
                <w:szCs w:val="24"/>
              </w:rPr>
              <w:t>Financial year</w:t>
            </w:r>
          </w:p>
        </w:tc>
        <w:tc>
          <w:tcPr>
            <w:tcW w:w="1794" w:type="dxa"/>
          </w:tcPr>
          <w:p w14:paraId="4000B7B0" w14:textId="2992219C" w:rsidR="000A7032" w:rsidRPr="00834BE8" w:rsidRDefault="000A7032" w:rsidP="000A7032">
            <w:pPr>
              <w:tabs>
                <w:tab w:val="num" w:pos="1985"/>
              </w:tabs>
              <w:spacing w:after="120"/>
              <w:jc w:val="center"/>
              <w:rPr>
                <w:rFonts w:cs="Arial"/>
                <w:b/>
                <w:bCs/>
                <w:szCs w:val="24"/>
              </w:rPr>
            </w:pPr>
            <w:r w:rsidRPr="00834BE8">
              <w:rPr>
                <w:rFonts w:cs="Arial"/>
                <w:b/>
                <w:bCs/>
                <w:szCs w:val="24"/>
              </w:rPr>
              <w:t>Capital Financing Budgets agreed at Council February 2023 £’m</w:t>
            </w:r>
          </w:p>
        </w:tc>
        <w:tc>
          <w:tcPr>
            <w:tcW w:w="1985" w:type="dxa"/>
          </w:tcPr>
          <w:p w14:paraId="4F5047E2" w14:textId="40BAA988" w:rsidR="000A7032" w:rsidRPr="00834BE8" w:rsidRDefault="000A7032" w:rsidP="000A7032">
            <w:pPr>
              <w:tabs>
                <w:tab w:val="num" w:pos="1985"/>
              </w:tabs>
              <w:spacing w:after="120"/>
              <w:jc w:val="center"/>
              <w:rPr>
                <w:rFonts w:cs="Arial"/>
                <w:b/>
                <w:bCs/>
                <w:szCs w:val="24"/>
              </w:rPr>
            </w:pPr>
            <w:r w:rsidRPr="00834BE8">
              <w:rPr>
                <w:rFonts w:cs="Arial"/>
                <w:b/>
                <w:bCs/>
                <w:szCs w:val="24"/>
              </w:rPr>
              <w:t>Capital Financing Budgets required to fund 26/27 projects in the original Capital Programme £’m</w:t>
            </w:r>
          </w:p>
        </w:tc>
        <w:tc>
          <w:tcPr>
            <w:tcW w:w="1559" w:type="dxa"/>
          </w:tcPr>
          <w:p w14:paraId="7693C149" w14:textId="0ADA188E" w:rsidR="000A7032" w:rsidRPr="00834BE8" w:rsidRDefault="000A7032" w:rsidP="000A7032">
            <w:pPr>
              <w:tabs>
                <w:tab w:val="num" w:pos="1985"/>
              </w:tabs>
              <w:spacing w:after="120"/>
              <w:jc w:val="center"/>
              <w:rPr>
                <w:rFonts w:cs="Arial"/>
                <w:b/>
                <w:bCs/>
                <w:szCs w:val="24"/>
              </w:rPr>
            </w:pPr>
            <w:r w:rsidRPr="00834BE8">
              <w:rPr>
                <w:rFonts w:cs="Arial"/>
                <w:b/>
                <w:bCs/>
                <w:szCs w:val="24"/>
              </w:rPr>
              <w:t>Revision to Capital Financing Budgets arising from</w:t>
            </w:r>
            <w:r w:rsidR="00C477CB" w:rsidRPr="00834BE8">
              <w:rPr>
                <w:rFonts w:cs="Arial"/>
                <w:b/>
                <w:bCs/>
                <w:szCs w:val="24"/>
              </w:rPr>
              <w:t xml:space="preserve"> changes in</w:t>
            </w:r>
            <w:r w:rsidRPr="00834BE8">
              <w:rPr>
                <w:rFonts w:cs="Arial"/>
                <w:b/>
                <w:bCs/>
                <w:szCs w:val="24"/>
              </w:rPr>
              <w:t xml:space="preserve"> Table 2 £’m</w:t>
            </w:r>
          </w:p>
        </w:tc>
        <w:tc>
          <w:tcPr>
            <w:tcW w:w="1554" w:type="dxa"/>
          </w:tcPr>
          <w:p w14:paraId="1D6B125F" w14:textId="39EA8AD9" w:rsidR="000A7032" w:rsidRPr="00834BE8" w:rsidRDefault="000A7032" w:rsidP="000A7032">
            <w:pPr>
              <w:tabs>
                <w:tab w:val="num" w:pos="1985"/>
              </w:tabs>
              <w:spacing w:after="120"/>
              <w:jc w:val="center"/>
              <w:rPr>
                <w:rFonts w:cs="Arial"/>
                <w:b/>
                <w:bCs/>
                <w:szCs w:val="24"/>
              </w:rPr>
            </w:pPr>
            <w:r w:rsidRPr="00834BE8">
              <w:rPr>
                <w:rFonts w:cs="Arial"/>
                <w:b/>
                <w:bCs/>
                <w:szCs w:val="24"/>
              </w:rPr>
              <w:t>Capital Financing Budgets for 2</w:t>
            </w:r>
            <w:r w:rsidR="009A69A1" w:rsidRPr="00834BE8">
              <w:rPr>
                <w:rFonts w:cs="Arial"/>
                <w:b/>
                <w:bCs/>
                <w:szCs w:val="24"/>
              </w:rPr>
              <w:t>4/25</w:t>
            </w:r>
            <w:r w:rsidRPr="00834BE8">
              <w:rPr>
                <w:rFonts w:cs="Arial"/>
                <w:b/>
                <w:bCs/>
                <w:szCs w:val="24"/>
              </w:rPr>
              <w:t xml:space="preserve"> Draft Budget report (December 2023) £’m</w:t>
            </w:r>
          </w:p>
        </w:tc>
      </w:tr>
      <w:tr w:rsidR="000A7032" w14:paraId="2AF77BCC" w14:textId="77777777" w:rsidTr="000A7032">
        <w:tc>
          <w:tcPr>
            <w:tcW w:w="1178" w:type="dxa"/>
          </w:tcPr>
          <w:p w14:paraId="071B6D39" w14:textId="40B3678B" w:rsidR="000A7032" w:rsidRDefault="000A7032" w:rsidP="0067433B">
            <w:pPr>
              <w:tabs>
                <w:tab w:val="num" w:pos="1985"/>
              </w:tabs>
              <w:spacing w:after="120"/>
              <w:jc w:val="both"/>
              <w:rPr>
                <w:rFonts w:cs="Arial"/>
                <w:szCs w:val="24"/>
              </w:rPr>
            </w:pPr>
            <w:r>
              <w:rPr>
                <w:rFonts w:cs="Arial"/>
                <w:szCs w:val="24"/>
              </w:rPr>
              <w:t>2023/24</w:t>
            </w:r>
          </w:p>
        </w:tc>
        <w:tc>
          <w:tcPr>
            <w:tcW w:w="1794" w:type="dxa"/>
          </w:tcPr>
          <w:p w14:paraId="4239DEAD" w14:textId="032677E9" w:rsidR="000A7032" w:rsidRDefault="000A7032" w:rsidP="000A7032">
            <w:pPr>
              <w:tabs>
                <w:tab w:val="num" w:pos="1985"/>
              </w:tabs>
              <w:spacing w:after="120"/>
              <w:jc w:val="center"/>
              <w:rPr>
                <w:rFonts w:cs="Arial"/>
                <w:szCs w:val="24"/>
              </w:rPr>
            </w:pPr>
            <w:r>
              <w:rPr>
                <w:rFonts w:cs="Arial"/>
                <w:szCs w:val="24"/>
              </w:rPr>
              <w:t>31.4</w:t>
            </w:r>
          </w:p>
        </w:tc>
        <w:tc>
          <w:tcPr>
            <w:tcW w:w="1985" w:type="dxa"/>
          </w:tcPr>
          <w:p w14:paraId="6CAF55C4" w14:textId="77777777" w:rsidR="000A7032" w:rsidRDefault="000A7032" w:rsidP="000A7032">
            <w:pPr>
              <w:tabs>
                <w:tab w:val="num" w:pos="1985"/>
              </w:tabs>
              <w:spacing w:after="120"/>
              <w:jc w:val="center"/>
              <w:rPr>
                <w:rFonts w:cs="Arial"/>
                <w:szCs w:val="24"/>
              </w:rPr>
            </w:pPr>
          </w:p>
        </w:tc>
        <w:tc>
          <w:tcPr>
            <w:tcW w:w="1559" w:type="dxa"/>
          </w:tcPr>
          <w:p w14:paraId="41206AD0" w14:textId="55E27BAC" w:rsidR="000A7032" w:rsidRDefault="000A7032" w:rsidP="000A7032">
            <w:pPr>
              <w:tabs>
                <w:tab w:val="num" w:pos="1985"/>
              </w:tabs>
              <w:spacing w:after="120"/>
              <w:jc w:val="center"/>
              <w:rPr>
                <w:rFonts w:cs="Arial"/>
                <w:szCs w:val="24"/>
              </w:rPr>
            </w:pPr>
          </w:p>
        </w:tc>
        <w:tc>
          <w:tcPr>
            <w:tcW w:w="1554" w:type="dxa"/>
          </w:tcPr>
          <w:p w14:paraId="13AE90D8" w14:textId="7486E87F" w:rsidR="000A7032" w:rsidRDefault="000A7032" w:rsidP="000A7032">
            <w:pPr>
              <w:tabs>
                <w:tab w:val="num" w:pos="1985"/>
              </w:tabs>
              <w:spacing w:after="120"/>
              <w:jc w:val="center"/>
              <w:rPr>
                <w:rFonts w:cs="Arial"/>
                <w:szCs w:val="24"/>
              </w:rPr>
            </w:pPr>
          </w:p>
        </w:tc>
      </w:tr>
      <w:tr w:rsidR="000A7032" w14:paraId="432858B2" w14:textId="77777777" w:rsidTr="000A7032">
        <w:tc>
          <w:tcPr>
            <w:tcW w:w="1178" w:type="dxa"/>
          </w:tcPr>
          <w:p w14:paraId="735505F7" w14:textId="3BAAFF9C" w:rsidR="000A7032" w:rsidRDefault="000A7032" w:rsidP="0067433B">
            <w:pPr>
              <w:tabs>
                <w:tab w:val="num" w:pos="1985"/>
              </w:tabs>
              <w:spacing w:after="120"/>
              <w:jc w:val="both"/>
              <w:rPr>
                <w:rFonts w:cs="Arial"/>
                <w:szCs w:val="24"/>
              </w:rPr>
            </w:pPr>
            <w:r>
              <w:rPr>
                <w:rFonts w:cs="Arial"/>
                <w:szCs w:val="24"/>
              </w:rPr>
              <w:t>2024/25</w:t>
            </w:r>
          </w:p>
        </w:tc>
        <w:tc>
          <w:tcPr>
            <w:tcW w:w="1794" w:type="dxa"/>
          </w:tcPr>
          <w:p w14:paraId="1FD2D22A" w14:textId="06F7C552" w:rsidR="000A7032" w:rsidRDefault="000A7032" w:rsidP="000A7032">
            <w:pPr>
              <w:tabs>
                <w:tab w:val="num" w:pos="1985"/>
              </w:tabs>
              <w:spacing w:after="120"/>
              <w:jc w:val="center"/>
              <w:rPr>
                <w:rFonts w:cs="Arial"/>
                <w:szCs w:val="24"/>
              </w:rPr>
            </w:pPr>
            <w:r>
              <w:rPr>
                <w:rFonts w:cs="Arial"/>
                <w:szCs w:val="24"/>
              </w:rPr>
              <w:t>33.3</w:t>
            </w:r>
          </w:p>
        </w:tc>
        <w:tc>
          <w:tcPr>
            <w:tcW w:w="1985" w:type="dxa"/>
          </w:tcPr>
          <w:p w14:paraId="729EAEA3" w14:textId="77777777" w:rsidR="000A7032" w:rsidRDefault="000A7032" w:rsidP="000A7032">
            <w:pPr>
              <w:tabs>
                <w:tab w:val="num" w:pos="1985"/>
              </w:tabs>
              <w:spacing w:after="120"/>
              <w:jc w:val="center"/>
              <w:rPr>
                <w:rFonts w:cs="Arial"/>
                <w:szCs w:val="24"/>
              </w:rPr>
            </w:pPr>
          </w:p>
        </w:tc>
        <w:tc>
          <w:tcPr>
            <w:tcW w:w="1559" w:type="dxa"/>
          </w:tcPr>
          <w:p w14:paraId="75D54B6E" w14:textId="0C240F5F" w:rsidR="000A7032" w:rsidRDefault="00C477CB" w:rsidP="000A7032">
            <w:pPr>
              <w:tabs>
                <w:tab w:val="num" w:pos="1985"/>
              </w:tabs>
              <w:spacing w:after="120"/>
              <w:jc w:val="center"/>
              <w:rPr>
                <w:rFonts w:cs="Arial"/>
                <w:szCs w:val="24"/>
              </w:rPr>
            </w:pPr>
            <w:r>
              <w:rPr>
                <w:rFonts w:cs="Arial"/>
                <w:szCs w:val="24"/>
              </w:rPr>
              <w:t>-0.2</w:t>
            </w:r>
          </w:p>
        </w:tc>
        <w:tc>
          <w:tcPr>
            <w:tcW w:w="1554" w:type="dxa"/>
          </w:tcPr>
          <w:p w14:paraId="12BBA151" w14:textId="61F321FD" w:rsidR="000A7032" w:rsidRDefault="00C477CB" w:rsidP="000A7032">
            <w:pPr>
              <w:tabs>
                <w:tab w:val="num" w:pos="1985"/>
              </w:tabs>
              <w:spacing w:after="120"/>
              <w:jc w:val="center"/>
              <w:rPr>
                <w:rFonts w:cs="Arial"/>
                <w:szCs w:val="24"/>
              </w:rPr>
            </w:pPr>
            <w:r>
              <w:rPr>
                <w:rFonts w:cs="Arial"/>
                <w:szCs w:val="24"/>
              </w:rPr>
              <w:t>33.1</w:t>
            </w:r>
          </w:p>
        </w:tc>
      </w:tr>
      <w:tr w:rsidR="000A7032" w14:paraId="5D2869C3" w14:textId="77777777" w:rsidTr="000A7032">
        <w:tc>
          <w:tcPr>
            <w:tcW w:w="1178" w:type="dxa"/>
          </w:tcPr>
          <w:p w14:paraId="7DDF8E4F" w14:textId="2E563B9B" w:rsidR="000A7032" w:rsidRDefault="000A7032" w:rsidP="0067433B">
            <w:pPr>
              <w:tabs>
                <w:tab w:val="num" w:pos="1985"/>
              </w:tabs>
              <w:spacing w:after="120"/>
              <w:jc w:val="both"/>
              <w:rPr>
                <w:rFonts w:cs="Arial"/>
                <w:szCs w:val="24"/>
              </w:rPr>
            </w:pPr>
            <w:r>
              <w:rPr>
                <w:rFonts w:cs="Arial"/>
                <w:szCs w:val="24"/>
              </w:rPr>
              <w:t>2025/26</w:t>
            </w:r>
          </w:p>
        </w:tc>
        <w:tc>
          <w:tcPr>
            <w:tcW w:w="1794" w:type="dxa"/>
          </w:tcPr>
          <w:p w14:paraId="04637140" w14:textId="343039FD" w:rsidR="000A7032" w:rsidRDefault="000A7032" w:rsidP="000A7032">
            <w:pPr>
              <w:tabs>
                <w:tab w:val="num" w:pos="1985"/>
              </w:tabs>
              <w:spacing w:after="120"/>
              <w:jc w:val="center"/>
              <w:rPr>
                <w:rFonts w:cs="Arial"/>
                <w:szCs w:val="24"/>
              </w:rPr>
            </w:pPr>
            <w:r>
              <w:rPr>
                <w:rFonts w:cs="Arial"/>
                <w:szCs w:val="24"/>
              </w:rPr>
              <w:t>33.7</w:t>
            </w:r>
          </w:p>
        </w:tc>
        <w:tc>
          <w:tcPr>
            <w:tcW w:w="1985" w:type="dxa"/>
          </w:tcPr>
          <w:p w14:paraId="7A46D057" w14:textId="77777777" w:rsidR="000A7032" w:rsidRDefault="000A7032" w:rsidP="000A7032">
            <w:pPr>
              <w:tabs>
                <w:tab w:val="num" w:pos="1985"/>
              </w:tabs>
              <w:spacing w:after="120"/>
              <w:jc w:val="center"/>
              <w:rPr>
                <w:rFonts w:cs="Arial"/>
                <w:szCs w:val="24"/>
              </w:rPr>
            </w:pPr>
          </w:p>
        </w:tc>
        <w:tc>
          <w:tcPr>
            <w:tcW w:w="1559" w:type="dxa"/>
          </w:tcPr>
          <w:p w14:paraId="75FC6429" w14:textId="495E6F2A" w:rsidR="000A7032" w:rsidRDefault="00C477CB" w:rsidP="000A7032">
            <w:pPr>
              <w:tabs>
                <w:tab w:val="num" w:pos="1985"/>
              </w:tabs>
              <w:spacing w:after="120"/>
              <w:jc w:val="center"/>
              <w:rPr>
                <w:rFonts w:cs="Arial"/>
                <w:szCs w:val="24"/>
              </w:rPr>
            </w:pPr>
            <w:r>
              <w:rPr>
                <w:rFonts w:cs="Arial"/>
                <w:szCs w:val="24"/>
              </w:rPr>
              <w:t>+0.1</w:t>
            </w:r>
          </w:p>
        </w:tc>
        <w:tc>
          <w:tcPr>
            <w:tcW w:w="1554" w:type="dxa"/>
          </w:tcPr>
          <w:p w14:paraId="6E9B76C6" w14:textId="4FD4F561" w:rsidR="000A7032" w:rsidRDefault="00C477CB" w:rsidP="000A7032">
            <w:pPr>
              <w:tabs>
                <w:tab w:val="num" w:pos="1985"/>
              </w:tabs>
              <w:spacing w:after="120"/>
              <w:jc w:val="center"/>
              <w:rPr>
                <w:rFonts w:cs="Arial"/>
                <w:szCs w:val="24"/>
              </w:rPr>
            </w:pPr>
            <w:r>
              <w:rPr>
                <w:rFonts w:cs="Arial"/>
                <w:szCs w:val="24"/>
              </w:rPr>
              <w:t>33.</w:t>
            </w:r>
            <w:r w:rsidR="002C5F28">
              <w:rPr>
                <w:rFonts w:cs="Arial"/>
                <w:szCs w:val="24"/>
              </w:rPr>
              <w:t>6</w:t>
            </w:r>
          </w:p>
        </w:tc>
      </w:tr>
      <w:tr w:rsidR="000A7032" w14:paraId="1D0D920D" w14:textId="77777777" w:rsidTr="000A7032">
        <w:tc>
          <w:tcPr>
            <w:tcW w:w="1178" w:type="dxa"/>
          </w:tcPr>
          <w:p w14:paraId="726E43F7" w14:textId="136EDF55" w:rsidR="000A7032" w:rsidRDefault="000A7032" w:rsidP="0067433B">
            <w:pPr>
              <w:tabs>
                <w:tab w:val="num" w:pos="1985"/>
              </w:tabs>
              <w:spacing w:after="120"/>
              <w:jc w:val="both"/>
              <w:rPr>
                <w:rFonts w:cs="Arial"/>
                <w:szCs w:val="24"/>
              </w:rPr>
            </w:pPr>
            <w:r>
              <w:rPr>
                <w:rFonts w:cs="Arial"/>
                <w:szCs w:val="24"/>
              </w:rPr>
              <w:t>2026/27</w:t>
            </w:r>
          </w:p>
        </w:tc>
        <w:tc>
          <w:tcPr>
            <w:tcW w:w="1794" w:type="dxa"/>
          </w:tcPr>
          <w:p w14:paraId="0B324AAD" w14:textId="77777777" w:rsidR="000A7032" w:rsidRDefault="000A7032" w:rsidP="0067433B">
            <w:pPr>
              <w:tabs>
                <w:tab w:val="num" w:pos="1985"/>
              </w:tabs>
              <w:spacing w:after="120"/>
              <w:jc w:val="both"/>
              <w:rPr>
                <w:rFonts w:cs="Arial"/>
                <w:szCs w:val="24"/>
              </w:rPr>
            </w:pPr>
          </w:p>
        </w:tc>
        <w:tc>
          <w:tcPr>
            <w:tcW w:w="1985" w:type="dxa"/>
          </w:tcPr>
          <w:p w14:paraId="49099891" w14:textId="18E2AC1E" w:rsidR="000A7032" w:rsidRDefault="000A7032" w:rsidP="000A7032">
            <w:pPr>
              <w:tabs>
                <w:tab w:val="num" w:pos="1985"/>
              </w:tabs>
              <w:spacing w:after="120"/>
              <w:jc w:val="center"/>
              <w:rPr>
                <w:rFonts w:cs="Arial"/>
                <w:szCs w:val="24"/>
              </w:rPr>
            </w:pPr>
            <w:r>
              <w:rPr>
                <w:rFonts w:cs="Arial"/>
                <w:szCs w:val="24"/>
              </w:rPr>
              <w:t>35.2</w:t>
            </w:r>
          </w:p>
        </w:tc>
        <w:tc>
          <w:tcPr>
            <w:tcW w:w="1559" w:type="dxa"/>
          </w:tcPr>
          <w:p w14:paraId="236790B6" w14:textId="7508ED3B" w:rsidR="000A7032" w:rsidRDefault="00C477CB" w:rsidP="00C477CB">
            <w:pPr>
              <w:tabs>
                <w:tab w:val="num" w:pos="1985"/>
              </w:tabs>
              <w:spacing w:after="120"/>
              <w:jc w:val="center"/>
              <w:rPr>
                <w:rFonts w:cs="Arial"/>
                <w:szCs w:val="24"/>
              </w:rPr>
            </w:pPr>
            <w:r>
              <w:rPr>
                <w:rFonts w:cs="Arial"/>
                <w:szCs w:val="24"/>
              </w:rPr>
              <w:t>-0.2</w:t>
            </w:r>
          </w:p>
        </w:tc>
        <w:tc>
          <w:tcPr>
            <w:tcW w:w="1554" w:type="dxa"/>
          </w:tcPr>
          <w:p w14:paraId="572762FE" w14:textId="178D45D4" w:rsidR="000A7032" w:rsidRDefault="00C477CB" w:rsidP="00C477CB">
            <w:pPr>
              <w:tabs>
                <w:tab w:val="num" w:pos="1985"/>
              </w:tabs>
              <w:spacing w:after="120"/>
              <w:jc w:val="center"/>
              <w:rPr>
                <w:rFonts w:cs="Arial"/>
                <w:szCs w:val="24"/>
              </w:rPr>
            </w:pPr>
            <w:r>
              <w:rPr>
                <w:rFonts w:cs="Arial"/>
                <w:szCs w:val="24"/>
              </w:rPr>
              <w:t>3</w:t>
            </w:r>
            <w:r w:rsidR="002C5F28">
              <w:rPr>
                <w:rFonts w:cs="Arial"/>
                <w:szCs w:val="24"/>
              </w:rPr>
              <w:t>4.9</w:t>
            </w:r>
          </w:p>
        </w:tc>
      </w:tr>
    </w:tbl>
    <w:p w14:paraId="44B676E1" w14:textId="51058C50" w:rsidR="0083499A" w:rsidRPr="00B4747A" w:rsidRDefault="0083499A" w:rsidP="002C5F28">
      <w:pPr>
        <w:tabs>
          <w:tab w:val="num" w:pos="1985"/>
        </w:tabs>
        <w:spacing w:after="120"/>
        <w:jc w:val="both"/>
        <w:rPr>
          <w:rFonts w:cs="Arial"/>
          <w:szCs w:val="24"/>
        </w:rPr>
      </w:pPr>
    </w:p>
    <w:p w14:paraId="2D796062" w14:textId="78365107" w:rsidR="00A3771B" w:rsidRPr="00A3771B" w:rsidRDefault="00F320E1" w:rsidP="00BE2FFC">
      <w:pPr>
        <w:numPr>
          <w:ilvl w:val="0"/>
          <w:numId w:val="27"/>
        </w:numPr>
        <w:tabs>
          <w:tab w:val="clear" w:pos="360"/>
          <w:tab w:val="num" w:pos="567"/>
          <w:tab w:val="num" w:pos="1985"/>
        </w:tabs>
        <w:spacing w:after="120"/>
        <w:ind w:left="567" w:hanging="567"/>
        <w:jc w:val="both"/>
        <w:rPr>
          <w:rFonts w:cs="Arial"/>
          <w:szCs w:val="24"/>
        </w:rPr>
      </w:pPr>
      <w:r w:rsidRPr="00A3771B">
        <w:rPr>
          <w:rFonts w:cs="Arial"/>
          <w:szCs w:val="24"/>
        </w:rPr>
        <w:lastRenderedPageBreak/>
        <w:t xml:space="preserve">When the </w:t>
      </w:r>
      <w:r w:rsidR="00632905" w:rsidRPr="00A3771B">
        <w:rPr>
          <w:rFonts w:cs="Arial"/>
          <w:szCs w:val="24"/>
        </w:rPr>
        <w:t>F</w:t>
      </w:r>
      <w:r w:rsidRPr="00A3771B">
        <w:rPr>
          <w:rFonts w:cs="Arial"/>
          <w:szCs w:val="24"/>
        </w:rPr>
        <w:t xml:space="preserve">inal Capital Programme report is presented to </w:t>
      </w:r>
      <w:r w:rsidR="00C4502B" w:rsidRPr="00A3771B">
        <w:rPr>
          <w:rFonts w:cs="Arial"/>
          <w:szCs w:val="24"/>
        </w:rPr>
        <w:t>C</w:t>
      </w:r>
      <w:r w:rsidRPr="00A3771B">
        <w:rPr>
          <w:rFonts w:cs="Arial"/>
          <w:szCs w:val="24"/>
        </w:rPr>
        <w:t>abinet in February 202</w:t>
      </w:r>
      <w:r w:rsidR="00632905" w:rsidRPr="00A3771B">
        <w:rPr>
          <w:rFonts w:cs="Arial"/>
          <w:szCs w:val="24"/>
        </w:rPr>
        <w:t>4</w:t>
      </w:r>
      <w:r w:rsidRPr="00A3771B">
        <w:rPr>
          <w:rFonts w:cs="Arial"/>
          <w:szCs w:val="24"/>
        </w:rPr>
        <w:t xml:space="preserve">, an updated table will be included which </w:t>
      </w:r>
      <w:r w:rsidR="00743B73" w:rsidRPr="00A3771B">
        <w:rPr>
          <w:rFonts w:cs="Arial"/>
          <w:szCs w:val="24"/>
        </w:rPr>
        <w:t xml:space="preserve">will </w:t>
      </w:r>
      <w:r w:rsidRPr="00A3771B">
        <w:rPr>
          <w:rFonts w:cs="Arial"/>
          <w:szCs w:val="24"/>
        </w:rPr>
        <w:t xml:space="preserve">show the revised capital financing costs </w:t>
      </w:r>
      <w:r w:rsidR="00B4747A" w:rsidRPr="00A3771B">
        <w:rPr>
          <w:rFonts w:cs="Arial"/>
          <w:szCs w:val="24"/>
        </w:rPr>
        <w:t>for the period 202</w:t>
      </w:r>
      <w:r w:rsidR="00632905" w:rsidRPr="00A3771B">
        <w:rPr>
          <w:rFonts w:cs="Arial"/>
          <w:szCs w:val="24"/>
        </w:rPr>
        <w:t>4/25</w:t>
      </w:r>
      <w:r w:rsidR="00B4747A" w:rsidRPr="00A3771B">
        <w:rPr>
          <w:rFonts w:cs="Arial"/>
          <w:szCs w:val="24"/>
        </w:rPr>
        <w:t xml:space="preserve"> to 202</w:t>
      </w:r>
      <w:r w:rsidR="00632905" w:rsidRPr="00A3771B">
        <w:rPr>
          <w:rFonts w:cs="Arial"/>
          <w:szCs w:val="24"/>
        </w:rPr>
        <w:t>6/27</w:t>
      </w:r>
      <w:r w:rsidR="00480886" w:rsidRPr="00A3771B">
        <w:rPr>
          <w:rFonts w:cs="Arial"/>
          <w:szCs w:val="24"/>
        </w:rPr>
        <w:t xml:space="preserve">, </w:t>
      </w:r>
      <w:r w:rsidR="0048675F" w:rsidRPr="00A3771B">
        <w:rPr>
          <w:rFonts w:cs="Arial"/>
          <w:szCs w:val="24"/>
        </w:rPr>
        <w:t xml:space="preserve">which will reflect any changes for additions or </w:t>
      </w:r>
      <w:r w:rsidR="000A7032">
        <w:rPr>
          <w:rFonts w:cs="Arial"/>
          <w:szCs w:val="24"/>
        </w:rPr>
        <w:t xml:space="preserve">further </w:t>
      </w:r>
      <w:r w:rsidR="0048675F" w:rsidRPr="00A3771B">
        <w:rPr>
          <w:rFonts w:cs="Arial"/>
          <w:szCs w:val="24"/>
        </w:rPr>
        <w:t>savings to capital</w:t>
      </w:r>
      <w:r w:rsidR="00C4502B" w:rsidRPr="00A3771B">
        <w:rPr>
          <w:rFonts w:cs="Arial"/>
          <w:szCs w:val="24"/>
        </w:rPr>
        <w:t xml:space="preserve"> f</w:t>
      </w:r>
      <w:r w:rsidR="0048675F" w:rsidRPr="00A3771B">
        <w:rPr>
          <w:rFonts w:cs="Arial"/>
          <w:szCs w:val="24"/>
        </w:rPr>
        <w:t>inancing costs proposed as part of the budget process.</w:t>
      </w:r>
    </w:p>
    <w:p w14:paraId="2DF18C26" w14:textId="30B2E88E" w:rsidR="006B5039" w:rsidRPr="00DB7535" w:rsidRDefault="00DF28AA" w:rsidP="00DB7535">
      <w:pPr>
        <w:numPr>
          <w:ilvl w:val="0"/>
          <w:numId w:val="27"/>
        </w:numPr>
        <w:tabs>
          <w:tab w:val="clear" w:pos="360"/>
          <w:tab w:val="num" w:pos="567"/>
          <w:tab w:val="num" w:pos="1985"/>
        </w:tabs>
        <w:spacing w:after="120"/>
        <w:ind w:left="567" w:hanging="567"/>
        <w:jc w:val="both"/>
        <w:rPr>
          <w:rFonts w:cs="Arial"/>
          <w:szCs w:val="24"/>
        </w:rPr>
      </w:pPr>
      <w:r w:rsidRPr="00A3771B">
        <w:rPr>
          <w:rFonts w:cs="Arial"/>
          <w:szCs w:val="24"/>
        </w:rPr>
        <w:t xml:space="preserve">Between now and the submission of the Final Capital Programme report to </w:t>
      </w:r>
      <w:r w:rsidR="00D579B1">
        <w:rPr>
          <w:rFonts w:cs="Arial"/>
          <w:szCs w:val="24"/>
        </w:rPr>
        <w:t>C</w:t>
      </w:r>
      <w:r w:rsidRPr="00A3771B">
        <w:rPr>
          <w:rFonts w:cs="Arial"/>
          <w:szCs w:val="24"/>
        </w:rPr>
        <w:t>abinet in February 202</w:t>
      </w:r>
      <w:r w:rsidR="000D76BE" w:rsidRPr="00A3771B">
        <w:rPr>
          <w:rFonts w:cs="Arial"/>
          <w:szCs w:val="24"/>
        </w:rPr>
        <w:t>4</w:t>
      </w:r>
      <w:r w:rsidRPr="00A3771B">
        <w:rPr>
          <w:rFonts w:cs="Arial"/>
          <w:szCs w:val="24"/>
        </w:rPr>
        <w:t xml:space="preserve">, there </w:t>
      </w:r>
      <w:r w:rsidR="000770EA" w:rsidRPr="00A3771B">
        <w:rPr>
          <w:rFonts w:cs="Arial"/>
          <w:szCs w:val="24"/>
        </w:rPr>
        <w:t xml:space="preserve">could be refinement of the capital proposals in </w:t>
      </w:r>
      <w:r w:rsidR="000770EA" w:rsidRPr="005E0C91">
        <w:rPr>
          <w:rFonts w:cs="Arial"/>
          <w:szCs w:val="24"/>
        </w:rPr>
        <w:t xml:space="preserve">Appendix </w:t>
      </w:r>
      <w:r w:rsidR="00262003" w:rsidRPr="005E0C91">
        <w:rPr>
          <w:rFonts w:cs="Arial"/>
          <w:szCs w:val="24"/>
        </w:rPr>
        <w:t>2</w:t>
      </w:r>
      <w:r w:rsidR="000770EA" w:rsidRPr="005E0C91">
        <w:rPr>
          <w:rFonts w:cs="Arial"/>
          <w:szCs w:val="24"/>
        </w:rPr>
        <w:t xml:space="preserve"> to take</w:t>
      </w:r>
      <w:r w:rsidR="000770EA" w:rsidRPr="00A3771B">
        <w:rPr>
          <w:rFonts w:cs="Arial"/>
          <w:szCs w:val="24"/>
        </w:rPr>
        <w:t xml:space="preserve"> account of factors such as any external funding notifications, for example, government grant announcements, further internal departmental reviews etc.</w:t>
      </w:r>
      <w:r w:rsidRPr="00A3771B">
        <w:rPr>
          <w:rFonts w:cs="Arial"/>
          <w:szCs w:val="24"/>
        </w:rPr>
        <w:t xml:space="preserve"> </w:t>
      </w:r>
    </w:p>
    <w:p w14:paraId="269A47F3" w14:textId="49559F32" w:rsidR="0058224A" w:rsidRDefault="0058224A" w:rsidP="00A3771B">
      <w:pPr>
        <w:tabs>
          <w:tab w:val="num" w:pos="1985"/>
        </w:tabs>
        <w:jc w:val="both"/>
        <w:rPr>
          <w:rFonts w:cs="Arial"/>
          <w:b/>
          <w:szCs w:val="24"/>
        </w:rPr>
      </w:pPr>
      <w:r w:rsidRPr="0007751F">
        <w:rPr>
          <w:rFonts w:cs="Arial"/>
          <w:b/>
          <w:szCs w:val="24"/>
        </w:rPr>
        <w:t>Community Infrastructure Levy (CIL) Funding</w:t>
      </w:r>
      <w:r w:rsidR="00EB61E1">
        <w:rPr>
          <w:rFonts w:cs="Arial"/>
          <w:b/>
          <w:szCs w:val="24"/>
        </w:rPr>
        <w:t xml:space="preserve"> </w:t>
      </w:r>
    </w:p>
    <w:p w14:paraId="74C92AA9" w14:textId="77777777" w:rsidR="000D76BE" w:rsidRPr="0007751F" w:rsidRDefault="000D76BE" w:rsidP="000E638E">
      <w:pPr>
        <w:tabs>
          <w:tab w:val="num" w:pos="1985"/>
        </w:tabs>
        <w:ind w:left="567" w:hanging="141"/>
        <w:jc w:val="both"/>
        <w:rPr>
          <w:rFonts w:cs="Arial"/>
          <w:b/>
          <w:szCs w:val="24"/>
        </w:rPr>
      </w:pPr>
    </w:p>
    <w:p w14:paraId="0E02212C" w14:textId="2ACD74CF" w:rsidR="007B297B" w:rsidRPr="00A15D4D" w:rsidRDefault="00B16D25" w:rsidP="008E03BB">
      <w:pPr>
        <w:pStyle w:val="ListParagraph"/>
        <w:numPr>
          <w:ilvl w:val="0"/>
          <w:numId w:val="27"/>
        </w:numPr>
        <w:jc w:val="both"/>
        <w:rPr>
          <w:rFonts w:cs="Arial"/>
          <w:szCs w:val="24"/>
        </w:rPr>
      </w:pPr>
      <w:r w:rsidRPr="00A15D4D">
        <w:rPr>
          <w:rFonts w:cs="Arial"/>
          <w:szCs w:val="24"/>
        </w:rPr>
        <w:t xml:space="preserve">The Community Infrastructure Levy (CIL) enables the council to raise funds for infrastructure from new development. It is levied on the net increase in </w:t>
      </w:r>
      <w:r w:rsidR="00557940" w:rsidRPr="00A15D4D">
        <w:rPr>
          <w:rFonts w:cs="Arial"/>
          <w:szCs w:val="24"/>
        </w:rPr>
        <w:t>floor space</w:t>
      </w:r>
      <w:r w:rsidRPr="00A15D4D">
        <w:rPr>
          <w:rFonts w:cs="Arial"/>
          <w:szCs w:val="24"/>
        </w:rPr>
        <w:t xml:space="preserve"> arising from new development</w:t>
      </w:r>
      <w:r w:rsidR="00557940" w:rsidRPr="00A15D4D">
        <w:rPr>
          <w:rFonts w:cs="Arial"/>
          <w:szCs w:val="24"/>
        </w:rPr>
        <w:t>s</w:t>
      </w:r>
      <w:r w:rsidRPr="00A15D4D">
        <w:rPr>
          <w:rFonts w:cs="Arial"/>
          <w:szCs w:val="24"/>
        </w:rPr>
        <w:t xml:space="preserve"> and is paid when that development starts.</w:t>
      </w:r>
      <w:r w:rsidR="00C05994" w:rsidRPr="00A15D4D">
        <w:rPr>
          <w:rFonts w:cs="Arial"/>
          <w:szCs w:val="24"/>
        </w:rPr>
        <w:t xml:space="preserve"> The Community Infrastructure Levy (CIL) is a tool for local authorities to support the development of their area by funding the provision, improvement, replacement, operation or maintenance of infrastructure. </w:t>
      </w:r>
      <w:r w:rsidR="004B55DB">
        <w:rPr>
          <w:rFonts w:cs="Arial"/>
          <w:szCs w:val="24"/>
        </w:rPr>
        <w:t>T</w:t>
      </w:r>
      <w:r w:rsidR="00C05994" w:rsidRPr="00A15D4D">
        <w:rPr>
          <w:rFonts w:cs="Arial"/>
          <w:szCs w:val="24"/>
        </w:rPr>
        <w:t>he focus of CIL is on the delivery of new infrastructure to meet and mitigate the impacts of new development in an area</w:t>
      </w:r>
      <w:r w:rsidR="008611E5" w:rsidRPr="00A15D4D">
        <w:rPr>
          <w:rFonts w:cs="Arial"/>
          <w:szCs w:val="24"/>
        </w:rPr>
        <w:t>.</w:t>
      </w:r>
    </w:p>
    <w:p w14:paraId="7D7CDD5B" w14:textId="77777777" w:rsidR="007B297B" w:rsidRDefault="007B297B" w:rsidP="00A26B10">
      <w:pPr>
        <w:pStyle w:val="ListParagraph"/>
        <w:ind w:left="360"/>
        <w:jc w:val="both"/>
        <w:rPr>
          <w:rFonts w:cs="Arial"/>
          <w:szCs w:val="24"/>
        </w:rPr>
      </w:pPr>
      <w:bookmarkStart w:id="1" w:name="_Hlk120532479"/>
    </w:p>
    <w:p w14:paraId="6E10A40D" w14:textId="5D1FF48B"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p>
    <w:bookmarkEnd w:id="1"/>
    <w:p w14:paraId="0F727266" w14:textId="77777777" w:rsidR="00C05994" w:rsidRDefault="00C05994" w:rsidP="000E638E">
      <w:pPr>
        <w:pStyle w:val="ListParagraph"/>
        <w:ind w:left="360"/>
        <w:jc w:val="both"/>
      </w:pPr>
    </w:p>
    <w:p w14:paraId="349B6748" w14:textId="2F4A214D" w:rsidR="00E84F43" w:rsidRPr="00262003"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 xml:space="preserve">wide </w:t>
      </w:r>
      <w:r w:rsidR="00953CF4" w:rsidRPr="00262003">
        <w:rPr>
          <w:lang w:val="en"/>
        </w:rPr>
        <w:t>infrastructure</w:t>
      </w:r>
      <w:r w:rsidR="0023468E" w:rsidRPr="00262003">
        <w:rPr>
          <w:lang w:val="en"/>
        </w:rPr>
        <w:t xml:space="preserve"> projects, which includes a 5% allowance to cover the </w:t>
      </w:r>
      <w:r w:rsidRPr="00262003">
        <w:rPr>
          <w:lang w:val="en"/>
        </w:rPr>
        <w:t>administrati</w:t>
      </w:r>
      <w:r w:rsidR="0023468E" w:rsidRPr="00262003">
        <w:rPr>
          <w:lang w:val="en"/>
        </w:rPr>
        <w:t>ve costs of CIL</w:t>
      </w:r>
      <w:r w:rsidRPr="00262003">
        <w:rPr>
          <w:lang w:val="en"/>
        </w:rPr>
        <w:t xml:space="preserve">. The decisions on where to spend CIL </w:t>
      </w:r>
      <w:r w:rsidR="00E84F43" w:rsidRPr="00262003">
        <w:t>at a borough-wide level</w:t>
      </w:r>
      <w:r w:rsidR="00C05994" w:rsidRPr="00262003">
        <w:t xml:space="preserve"> is determined by the Council. </w:t>
      </w:r>
      <w:r w:rsidR="0023468E" w:rsidRPr="00262003">
        <w:t xml:space="preserve">The remaining 15% is allocated to </w:t>
      </w:r>
      <w:r w:rsidR="00C05994" w:rsidRPr="00262003">
        <w:t xml:space="preserve">Neighbourhood CIL (NCIL) </w:t>
      </w:r>
      <w:r w:rsidR="0023468E" w:rsidRPr="00262003">
        <w:t xml:space="preserve">and </w:t>
      </w:r>
      <w:r w:rsidR="00C05994" w:rsidRPr="00262003">
        <w:t xml:space="preserve">must be spent on projects that have taken account of the views of the communities in which the income was </w:t>
      </w:r>
      <w:r w:rsidR="004E0416" w:rsidRPr="00262003">
        <w:t>generated,</w:t>
      </w:r>
      <w:r w:rsidR="00C05994" w:rsidRPr="00262003">
        <w:t xml:space="preserve"> and these projects</w:t>
      </w:r>
      <w:r w:rsidR="0012481E" w:rsidRPr="00262003">
        <w:t xml:space="preserve"> (capital and revenue)</w:t>
      </w:r>
      <w:r w:rsidR="00C05994" w:rsidRPr="00262003">
        <w:t xml:space="preserve"> should support the development of the area.</w:t>
      </w:r>
      <w:r w:rsidR="00E84F43" w:rsidRPr="00262003">
        <w:t xml:space="preserve"> </w:t>
      </w:r>
    </w:p>
    <w:p w14:paraId="48D5FFC9" w14:textId="77777777" w:rsidR="005A7ABA" w:rsidRPr="00262003" w:rsidRDefault="005A7ABA" w:rsidP="000E638E">
      <w:pPr>
        <w:pStyle w:val="ListParagraph"/>
        <w:ind w:left="360"/>
        <w:jc w:val="both"/>
        <w:rPr>
          <w:lang w:val="en"/>
        </w:rPr>
      </w:pPr>
    </w:p>
    <w:p w14:paraId="523637CB" w14:textId="6C6EFAF3" w:rsidR="004050A5" w:rsidRDefault="00625575" w:rsidP="00625575">
      <w:pPr>
        <w:pStyle w:val="ListParagraph"/>
        <w:numPr>
          <w:ilvl w:val="0"/>
          <w:numId w:val="27"/>
        </w:numPr>
        <w:tabs>
          <w:tab w:val="clear" w:pos="360"/>
        </w:tabs>
        <w:ind w:left="426" w:hanging="426"/>
        <w:jc w:val="both"/>
      </w:pPr>
      <w:r w:rsidRPr="00262003">
        <w:t xml:space="preserve">In 2017, the principle was adopted by the </w:t>
      </w:r>
      <w:r w:rsidR="005A7ABA" w:rsidRPr="00262003">
        <w:t>Major Development Panel</w:t>
      </w:r>
      <w:r w:rsidR="00576CCD" w:rsidRPr="00262003">
        <w:t xml:space="preserve"> </w:t>
      </w:r>
      <w:r w:rsidRPr="00262003">
        <w:t>(</w:t>
      </w:r>
      <w:r w:rsidR="005A7ABA" w:rsidRPr="00262003">
        <w:t>14</w:t>
      </w:r>
      <w:r w:rsidR="005A7ABA" w:rsidRPr="00262003">
        <w:rPr>
          <w:vertAlign w:val="superscript"/>
        </w:rPr>
        <w:t>th</w:t>
      </w:r>
      <w:r w:rsidR="00962A6F" w:rsidRPr="00262003">
        <w:t xml:space="preserve"> </w:t>
      </w:r>
      <w:r w:rsidR="005A7ABA" w:rsidRPr="00262003">
        <w:t>November 2017</w:t>
      </w:r>
      <w:r w:rsidRPr="00262003">
        <w:t>) and</w:t>
      </w:r>
      <w:r w:rsidR="00C76115" w:rsidRPr="00262003">
        <w:t xml:space="preserve"> </w:t>
      </w:r>
      <w:r w:rsidRPr="00262003">
        <w:t>Cabinet</w:t>
      </w:r>
      <w:r w:rsidR="00C76115" w:rsidRPr="00262003">
        <w:t xml:space="preserve"> (7</w:t>
      </w:r>
      <w:r w:rsidR="00C76115" w:rsidRPr="00262003">
        <w:rPr>
          <w:vertAlign w:val="superscript"/>
        </w:rPr>
        <w:t>th</w:t>
      </w:r>
      <w:r w:rsidR="00C76115" w:rsidRPr="00262003">
        <w:t xml:space="preserve"> December 2017)</w:t>
      </w:r>
      <w:r w:rsidRPr="00262003">
        <w:t xml:space="preserve"> that </w:t>
      </w:r>
      <w:r w:rsidR="006F5268" w:rsidRPr="00262003">
        <w:t xml:space="preserve">the allocation of Borough </w:t>
      </w:r>
      <w:r w:rsidR="008611E5" w:rsidRPr="00262003">
        <w:t xml:space="preserve">and Neighbourhood </w:t>
      </w:r>
      <w:r w:rsidR="006F5268" w:rsidRPr="00262003">
        <w:t xml:space="preserve">CIL is included as part of the Annual Budget Setting process and included in the Capital Programme report which goes to Cabinet in draft (this report) and in February in its final version. </w:t>
      </w:r>
      <w:r w:rsidR="0016289D" w:rsidRPr="00262003">
        <w:t>In agreeing the Borough CIL allocations process, Cabinet also indicated that this should be informed by the Harrow Local Plan, Infrastructure Delivery Plan (IDP), corporate priorities and external funding opportunities.</w:t>
      </w:r>
    </w:p>
    <w:p w14:paraId="0507374C" w14:textId="77777777" w:rsidR="004050A5" w:rsidRDefault="004050A5" w:rsidP="00BD6D41">
      <w:pPr>
        <w:pStyle w:val="ListParagraph"/>
      </w:pPr>
    </w:p>
    <w:p w14:paraId="54C29890" w14:textId="10396206" w:rsidR="00C05994" w:rsidRPr="00262003" w:rsidRDefault="0016289D" w:rsidP="00625575">
      <w:pPr>
        <w:pStyle w:val="ListParagraph"/>
        <w:numPr>
          <w:ilvl w:val="0"/>
          <w:numId w:val="27"/>
        </w:numPr>
        <w:tabs>
          <w:tab w:val="clear" w:pos="360"/>
        </w:tabs>
        <w:ind w:left="426" w:hanging="426"/>
        <w:jc w:val="both"/>
      </w:pPr>
      <w:r w:rsidRPr="00262003">
        <w:t xml:space="preserve"> In this regard, a new Local Plan is currently being prepared and this will be informed by an updated IDP (due mid-2024). The IDP will provide an up to date</w:t>
      </w:r>
      <w:r w:rsidR="00BD6D41">
        <w:t xml:space="preserve"> </w:t>
      </w:r>
      <w:r w:rsidRPr="00262003">
        <w:t>assessment of infrastructure required to support the development envisaged in the new Local Plan, including the increased housing targets set by the London Plan. In this context, it is considered prudent not to fully allocate current BCIL balances / anticipated receipts as the forthcoming IDP may identify infrastructure needs that would benefit from BCIL to ensure timely provision.</w:t>
      </w:r>
      <w:r w:rsidR="006F5268" w:rsidRPr="00262003">
        <w:t xml:space="preserve"> </w:t>
      </w:r>
    </w:p>
    <w:p w14:paraId="48639E49" w14:textId="77777777" w:rsidR="003005D7" w:rsidRPr="007B297B" w:rsidRDefault="003005D7" w:rsidP="00723CAC">
      <w:pPr>
        <w:tabs>
          <w:tab w:val="num" w:pos="1985"/>
        </w:tabs>
        <w:jc w:val="both"/>
        <w:rPr>
          <w:rFonts w:cs="Arial"/>
          <w:szCs w:val="24"/>
        </w:rPr>
      </w:pPr>
    </w:p>
    <w:p w14:paraId="30BC256C" w14:textId="38EF8CC5" w:rsidR="0058224A" w:rsidRPr="007B297B" w:rsidRDefault="00AA3FAC" w:rsidP="00D579B1">
      <w:pPr>
        <w:numPr>
          <w:ilvl w:val="0"/>
          <w:numId w:val="27"/>
        </w:numPr>
        <w:tabs>
          <w:tab w:val="clear" w:pos="360"/>
          <w:tab w:val="num" w:pos="284"/>
          <w:tab w:val="num" w:pos="1985"/>
        </w:tabs>
        <w:ind w:left="426" w:hanging="426"/>
        <w:jc w:val="both"/>
      </w:pPr>
      <w:r w:rsidRPr="007B297B">
        <w:lastRenderedPageBreak/>
        <w:t xml:space="preserve">In terms of the Neighbourhood element of CIL (NCIL) a review of the process </w:t>
      </w:r>
      <w:r w:rsidR="00E4008A">
        <w:t xml:space="preserve">was undertaken during 2022/23, and the outcomes and recommendations were presented to Cabinet in February 2023. A new process of NCIL allocation and project delivery is now in place. </w:t>
      </w:r>
    </w:p>
    <w:p w14:paraId="3CF45DFA" w14:textId="77777777" w:rsidR="000568CE" w:rsidRPr="00587793" w:rsidRDefault="000568CE" w:rsidP="00723CAC">
      <w:pPr>
        <w:tabs>
          <w:tab w:val="num" w:pos="1985"/>
        </w:tabs>
        <w:ind w:left="567"/>
        <w:jc w:val="both"/>
        <w:rPr>
          <w:rFonts w:cs="Arial"/>
          <w:szCs w:val="24"/>
        </w:rPr>
      </w:pPr>
    </w:p>
    <w:p w14:paraId="05C60D13" w14:textId="77B958D0" w:rsidR="000568CE" w:rsidRPr="005E232D" w:rsidRDefault="000568CE" w:rsidP="00723CAC">
      <w:pPr>
        <w:numPr>
          <w:ilvl w:val="0"/>
          <w:numId w:val="27"/>
        </w:numPr>
        <w:tabs>
          <w:tab w:val="num" w:pos="1985"/>
        </w:tabs>
        <w:jc w:val="both"/>
        <w:rPr>
          <w:rFonts w:cs="Arial"/>
          <w:szCs w:val="24"/>
        </w:rPr>
      </w:pPr>
      <w:r w:rsidRPr="005E232D">
        <w:t xml:space="preserve">The Borough CIL element </w:t>
      </w:r>
      <w:r w:rsidR="00F730D3" w:rsidRPr="005E232D">
        <w:t>is</w:t>
      </w:r>
      <w:r w:rsidRPr="005E232D">
        <w:t xml:space="preserve"> used to fund the core Capital programme</w:t>
      </w:r>
      <w:r w:rsidR="007E0D26">
        <w:t xml:space="preserve"> where projects relate to infrastructure to support development in accordance with CIL Regulations</w:t>
      </w:r>
      <w:r w:rsidR="00F730D3" w:rsidRPr="005E232D">
        <w:t xml:space="preserve">. </w:t>
      </w:r>
      <w:r w:rsidRPr="005E232D">
        <w:t xml:space="preserve"> </w:t>
      </w:r>
      <w:r w:rsidRPr="005E232D">
        <w:rPr>
          <w:rFonts w:cs="Arial"/>
          <w:szCs w:val="24"/>
        </w:rPr>
        <w:t xml:space="preserve">Schemes in the Capital Programme that have been funded by BCIL </w:t>
      </w:r>
      <w:r w:rsidR="00D80F37" w:rsidRPr="005E232D">
        <w:rPr>
          <w:rFonts w:cs="Arial"/>
          <w:szCs w:val="24"/>
        </w:rPr>
        <w:t xml:space="preserve">between 2017/18 to </w:t>
      </w:r>
      <w:r w:rsidRPr="005E232D">
        <w:rPr>
          <w:rFonts w:cs="Arial"/>
          <w:szCs w:val="24"/>
        </w:rPr>
        <w:t>20</w:t>
      </w:r>
      <w:r w:rsidR="00D80F37" w:rsidRPr="005E232D">
        <w:rPr>
          <w:rFonts w:cs="Arial"/>
          <w:szCs w:val="24"/>
        </w:rPr>
        <w:t>2</w:t>
      </w:r>
      <w:r w:rsidR="00E4008A">
        <w:rPr>
          <w:rFonts w:cs="Arial"/>
          <w:szCs w:val="24"/>
        </w:rPr>
        <w:t>2/23</w:t>
      </w:r>
      <w:r w:rsidRPr="005E232D">
        <w:rPr>
          <w:rFonts w:cs="Arial"/>
          <w:szCs w:val="24"/>
        </w:rPr>
        <w:t xml:space="preserve"> are set out in </w:t>
      </w:r>
      <w:r w:rsidRPr="00262003">
        <w:rPr>
          <w:rFonts w:cs="Arial"/>
          <w:szCs w:val="24"/>
        </w:rPr>
        <w:t xml:space="preserve">Table </w:t>
      </w:r>
      <w:r w:rsidR="00262003" w:rsidRPr="00262003">
        <w:rPr>
          <w:rFonts w:cs="Arial"/>
          <w:szCs w:val="24"/>
        </w:rPr>
        <w:t>4</w:t>
      </w:r>
      <w:r w:rsidRPr="005E232D">
        <w:rPr>
          <w:rFonts w:cs="Arial"/>
          <w:szCs w:val="24"/>
        </w:rPr>
        <w:t xml:space="preserve"> and total £</w:t>
      </w:r>
      <w:r w:rsidR="00D80F37" w:rsidRPr="005E232D">
        <w:rPr>
          <w:rFonts w:cs="Arial"/>
          <w:szCs w:val="24"/>
        </w:rPr>
        <w:t>1</w:t>
      </w:r>
      <w:r w:rsidR="00721AA3">
        <w:rPr>
          <w:rFonts w:cs="Arial"/>
          <w:szCs w:val="24"/>
        </w:rPr>
        <w:t>8.176</w:t>
      </w:r>
      <w:r w:rsidR="00D80F37" w:rsidRPr="005E232D">
        <w:rPr>
          <w:rFonts w:cs="Arial"/>
          <w:szCs w:val="24"/>
        </w:rPr>
        <w:t>m</w:t>
      </w:r>
      <w:r w:rsidR="00822CDE" w:rsidRPr="005E232D">
        <w:rPr>
          <w:rFonts w:cs="Arial"/>
          <w:szCs w:val="24"/>
        </w:rPr>
        <w:t xml:space="preserve">. </w:t>
      </w:r>
      <w:r w:rsidR="00D80F37" w:rsidRPr="005E232D">
        <w:rPr>
          <w:rFonts w:cs="Arial"/>
          <w:szCs w:val="24"/>
        </w:rPr>
        <w:t>Of this total, £</w:t>
      </w:r>
      <w:r w:rsidR="00721AA3">
        <w:rPr>
          <w:rFonts w:cs="Arial"/>
          <w:szCs w:val="24"/>
        </w:rPr>
        <w:t>2.076</w:t>
      </w:r>
      <w:r w:rsidR="00D80F37" w:rsidRPr="005E232D">
        <w:rPr>
          <w:rFonts w:cs="Arial"/>
          <w:szCs w:val="24"/>
        </w:rPr>
        <w:t xml:space="preserve">m of schemes </w:t>
      </w:r>
      <w:r w:rsidR="00BE6EBC" w:rsidRPr="005E232D">
        <w:rPr>
          <w:rFonts w:cs="Arial"/>
          <w:szCs w:val="24"/>
        </w:rPr>
        <w:t>remain</w:t>
      </w:r>
      <w:r w:rsidR="00D80F37" w:rsidRPr="005E232D">
        <w:rPr>
          <w:rFonts w:cs="Arial"/>
          <w:szCs w:val="24"/>
        </w:rPr>
        <w:t xml:space="preserve"> </w:t>
      </w:r>
      <w:r w:rsidR="000F1810" w:rsidRPr="005E232D">
        <w:rPr>
          <w:rFonts w:cs="Arial"/>
          <w:szCs w:val="24"/>
        </w:rPr>
        <w:t xml:space="preserve">outstanding as at </w:t>
      </w:r>
      <w:r w:rsidR="008B7513">
        <w:rPr>
          <w:rFonts w:cs="Arial"/>
          <w:szCs w:val="24"/>
        </w:rPr>
        <w:t>31</w:t>
      </w:r>
      <w:r w:rsidR="00E4008A" w:rsidRPr="00E4008A">
        <w:rPr>
          <w:rFonts w:cs="Arial"/>
          <w:szCs w:val="24"/>
          <w:vertAlign w:val="superscript"/>
        </w:rPr>
        <w:t>st</w:t>
      </w:r>
      <w:r w:rsidR="00E4008A">
        <w:rPr>
          <w:rFonts w:cs="Arial"/>
          <w:szCs w:val="24"/>
        </w:rPr>
        <w:t xml:space="preserve"> </w:t>
      </w:r>
      <w:r w:rsidR="008B7513">
        <w:rPr>
          <w:rFonts w:cs="Arial"/>
          <w:szCs w:val="24"/>
        </w:rPr>
        <w:t>March</w:t>
      </w:r>
      <w:r w:rsidR="00E4008A">
        <w:rPr>
          <w:rFonts w:cs="Arial"/>
          <w:szCs w:val="24"/>
        </w:rPr>
        <w:t xml:space="preserve"> </w:t>
      </w:r>
      <w:r w:rsidR="000F1810" w:rsidRPr="005E232D">
        <w:rPr>
          <w:rFonts w:cs="Arial"/>
          <w:szCs w:val="24"/>
        </w:rPr>
        <w:t>202</w:t>
      </w:r>
      <w:r w:rsidR="00E4008A">
        <w:rPr>
          <w:rFonts w:cs="Arial"/>
          <w:szCs w:val="24"/>
        </w:rPr>
        <w:t>3</w:t>
      </w:r>
      <w:r w:rsidR="000F1810" w:rsidRPr="005E232D">
        <w:rPr>
          <w:rFonts w:cs="Arial"/>
          <w:szCs w:val="24"/>
        </w:rPr>
        <w:t xml:space="preserve"> and </w:t>
      </w:r>
      <w:r w:rsidR="00A61CB7" w:rsidRPr="005E232D">
        <w:rPr>
          <w:rFonts w:cs="Arial"/>
          <w:szCs w:val="24"/>
        </w:rPr>
        <w:t xml:space="preserve">this </w:t>
      </w:r>
      <w:r w:rsidR="00F91FD2" w:rsidRPr="005E232D">
        <w:rPr>
          <w:rFonts w:cs="Arial"/>
          <w:szCs w:val="24"/>
        </w:rPr>
        <w:t xml:space="preserve">sum </w:t>
      </w:r>
      <w:r w:rsidR="00A61CB7" w:rsidRPr="005E232D">
        <w:rPr>
          <w:rFonts w:cs="Arial"/>
          <w:szCs w:val="24"/>
        </w:rPr>
        <w:t>has been carried forward as a commitment for 202</w:t>
      </w:r>
      <w:r w:rsidR="00E4008A">
        <w:rPr>
          <w:rFonts w:cs="Arial"/>
          <w:szCs w:val="24"/>
        </w:rPr>
        <w:t>3/24</w:t>
      </w:r>
      <w:r w:rsidR="00A61CB7" w:rsidRPr="005E232D">
        <w:rPr>
          <w:rFonts w:cs="Arial"/>
          <w:szCs w:val="24"/>
        </w:rPr>
        <w:t xml:space="preserve"> and included </w:t>
      </w:r>
      <w:r w:rsidR="00A61CB7" w:rsidRPr="00262003">
        <w:rPr>
          <w:rFonts w:cs="Arial"/>
          <w:szCs w:val="24"/>
        </w:rPr>
        <w:t xml:space="preserve">in Table </w:t>
      </w:r>
      <w:r w:rsidR="00262003">
        <w:rPr>
          <w:rFonts w:cs="Arial"/>
          <w:szCs w:val="24"/>
        </w:rPr>
        <w:t>6</w:t>
      </w:r>
      <w:r w:rsidR="00A61CB7" w:rsidRPr="005E232D">
        <w:rPr>
          <w:rFonts w:cs="Arial"/>
          <w:szCs w:val="24"/>
        </w:rPr>
        <w:t xml:space="preserve">. </w:t>
      </w:r>
    </w:p>
    <w:p w14:paraId="7D7BAA02" w14:textId="77777777" w:rsidR="007B297B" w:rsidRPr="005E232D" w:rsidRDefault="007B297B" w:rsidP="00723CAC">
      <w:pPr>
        <w:tabs>
          <w:tab w:val="num" w:pos="1985"/>
        </w:tabs>
        <w:jc w:val="both"/>
        <w:rPr>
          <w:rFonts w:cs="Arial"/>
          <w:szCs w:val="24"/>
        </w:rPr>
      </w:pPr>
    </w:p>
    <w:p w14:paraId="157CE078" w14:textId="2270208D" w:rsidR="00D80F37" w:rsidRDefault="003532AD" w:rsidP="000770EA">
      <w:pPr>
        <w:tabs>
          <w:tab w:val="num" w:pos="1985"/>
        </w:tabs>
        <w:ind w:left="567"/>
        <w:jc w:val="both"/>
        <w:rPr>
          <w:rFonts w:cs="Arial"/>
          <w:b/>
          <w:bCs/>
          <w:szCs w:val="24"/>
        </w:rPr>
      </w:pPr>
      <w:r w:rsidRPr="00262003">
        <w:rPr>
          <w:rFonts w:cs="Arial"/>
          <w:b/>
          <w:bCs/>
          <w:szCs w:val="24"/>
        </w:rPr>
        <w:t xml:space="preserve">Table </w:t>
      </w:r>
      <w:r w:rsidR="00262003" w:rsidRPr="00262003">
        <w:rPr>
          <w:rFonts w:cs="Arial"/>
          <w:b/>
          <w:bCs/>
          <w:szCs w:val="24"/>
        </w:rPr>
        <w:t>4</w:t>
      </w:r>
      <w:r w:rsidRPr="005E232D">
        <w:rPr>
          <w:rFonts w:cs="Arial"/>
          <w:b/>
          <w:bCs/>
          <w:szCs w:val="24"/>
        </w:rPr>
        <w:t xml:space="preserve"> – Schemes funded from BCIL up to 20</w:t>
      </w:r>
      <w:r w:rsidR="00D80F37" w:rsidRPr="005E232D">
        <w:rPr>
          <w:rFonts w:cs="Arial"/>
          <w:b/>
          <w:bCs/>
          <w:szCs w:val="24"/>
        </w:rPr>
        <w:t>2</w:t>
      </w:r>
      <w:r w:rsidR="00E4008A">
        <w:rPr>
          <w:rFonts w:cs="Arial"/>
          <w:b/>
          <w:bCs/>
          <w:szCs w:val="24"/>
        </w:rPr>
        <w:t>2/23</w:t>
      </w:r>
    </w:p>
    <w:p w14:paraId="670954CE" w14:textId="4D9FC3CA" w:rsidR="00F91FD2" w:rsidRDefault="00721AA3" w:rsidP="000770EA">
      <w:pPr>
        <w:tabs>
          <w:tab w:val="num" w:pos="1985"/>
        </w:tabs>
        <w:ind w:left="567"/>
        <w:jc w:val="both"/>
        <w:rPr>
          <w:rFonts w:cs="Arial"/>
          <w:b/>
          <w:bCs/>
          <w:szCs w:val="24"/>
        </w:rPr>
      </w:pPr>
      <w:r>
        <w:rPr>
          <w:rFonts w:cs="Arial"/>
          <w:b/>
          <w:bCs/>
          <w:noProof/>
          <w:szCs w:val="24"/>
        </w:rPr>
        <w:drawing>
          <wp:inline distT="0" distB="0" distL="0" distR="0" wp14:anchorId="0526F002" wp14:editId="2B66FA6B">
            <wp:extent cx="5238750" cy="3280655"/>
            <wp:effectExtent l="0" t="0" r="0" b="0"/>
            <wp:docPr id="2" name="Picture 2"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spreadshee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66999" cy="3298345"/>
                    </a:xfrm>
                    <a:prstGeom prst="rect">
                      <a:avLst/>
                    </a:prstGeom>
                  </pic:spPr>
                </pic:pic>
              </a:graphicData>
            </a:graphic>
          </wp:inline>
        </w:drawing>
      </w:r>
    </w:p>
    <w:p w14:paraId="1374EAAF" w14:textId="77777777" w:rsidR="000568CE" w:rsidRPr="00587793" w:rsidRDefault="000568CE" w:rsidP="003314B4">
      <w:pPr>
        <w:tabs>
          <w:tab w:val="num" w:pos="1985"/>
        </w:tabs>
        <w:ind w:left="567"/>
        <w:jc w:val="both"/>
        <w:rPr>
          <w:rFonts w:cs="Arial"/>
          <w:szCs w:val="24"/>
        </w:rPr>
      </w:pPr>
    </w:p>
    <w:p w14:paraId="075BEA2F" w14:textId="77777777" w:rsidR="005F297C" w:rsidRPr="00576CCD" w:rsidRDefault="005F297C" w:rsidP="00DF28AA">
      <w:pPr>
        <w:tabs>
          <w:tab w:val="num" w:pos="1985"/>
        </w:tabs>
        <w:jc w:val="both"/>
        <w:rPr>
          <w:rFonts w:cs="Arial"/>
          <w:szCs w:val="24"/>
        </w:rPr>
      </w:pPr>
    </w:p>
    <w:p w14:paraId="50EE4394" w14:textId="41CB6A9C" w:rsidR="00933CB0" w:rsidRDefault="005F297C" w:rsidP="00AC1E0D">
      <w:pPr>
        <w:numPr>
          <w:ilvl w:val="0"/>
          <w:numId w:val="27"/>
        </w:numPr>
        <w:tabs>
          <w:tab w:val="clear" w:pos="360"/>
          <w:tab w:val="num" w:pos="426"/>
          <w:tab w:val="num" w:pos="1985"/>
        </w:tabs>
        <w:ind w:left="567" w:hanging="567"/>
        <w:jc w:val="both"/>
        <w:rPr>
          <w:rFonts w:cs="Arial"/>
          <w:szCs w:val="24"/>
        </w:rPr>
      </w:pPr>
      <w:r w:rsidRPr="00A466F3">
        <w:rPr>
          <w:rFonts w:cs="Arial"/>
          <w:szCs w:val="24"/>
        </w:rPr>
        <w:t xml:space="preserve"> </w:t>
      </w:r>
      <w:r w:rsidR="0008529A" w:rsidRPr="00262003">
        <w:rPr>
          <w:rFonts w:cs="Arial"/>
          <w:szCs w:val="24"/>
        </w:rPr>
        <w:t xml:space="preserve">Table </w:t>
      </w:r>
      <w:r w:rsidR="00262003">
        <w:rPr>
          <w:rFonts w:cs="Arial"/>
          <w:szCs w:val="24"/>
        </w:rPr>
        <w:t>5</w:t>
      </w:r>
      <w:r w:rsidR="0008529A" w:rsidRPr="00A466F3">
        <w:rPr>
          <w:rFonts w:cs="Arial"/>
          <w:szCs w:val="24"/>
        </w:rPr>
        <w:t xml:space="preserve"> </w:t>
      </w:r>
      <w:r w:rsidR="00046DFF" w:rsidRPr="00A466F3">
        <w:rPr>
          <w:rFonts w:cs="Arial"/>
          <w:szCs w:val="24"/>
        </w:rPr>
        <w:t xml:space="preserve">sets out the </w:t>
      </w:r>
      <w:r w:rsidR="008C0190" w:rsidRPr="00A466F3">
        <w:rPr>
          <w:rFonts w:cs="Arial"/>
          <w:szCs w:val="24"/>
        </w:rPr>
        <w:t xml:space="preserve">balance of </w:t>
      </w:r>
      <w:r w:rsidR="00046DFF" w:rsidRPr="00A466F3">
        <w:rPr>
          <w:rFonts w:cs="Arial"/>
          <w:szCs w:val="24"/>
        </w:rPr>
        <w:t xml:space="preserve">CIL funding </w:t>
      </w:r>
      <w:r w:rsidR="008C0190" w:rsidRPr="00A466F3">
        <w:rPr>
          <w:rFonts w:cs="Arial"/>
          <w:szCs w:val="24"/>
        </w:rPr>
        <w:t>remaining as at 31</w:t>
      </w:r>
      <w:r w:rsidR="008C0190" w:rsidRPr="00A466F3">
        <w:rPr>
          <w:rFonts w:cs="Arial"/>
          <w:szCs w:val="24"/>
          <w:vertAlign w:val="superscript"/>
        </w:rPr>
        <w:t>st</w:t>
      </w:r>
      <w:r w:rsidR="008C0190" w:rsidRPr="00A466F3">
        <w:rPr>
          <w:rFonts w:cs="Arial"/>
          <w:szCs w:val="24"/>
        </w:rPr>
        <w:t xml:space="preserve"> March 202</w:t>
      </w:r>
      <w:r w:rsidR="004B3B93" w:rsidRPr="00A466F3">
        <w:rPr>
          <w:rFonts w:cs="Arial"/>
          <w:szCs w:val="24"/>
        </w:rPr>
        <w:t>3</w:t>
      </w:r>
      <w:r w:rsidR="008C0190" w:rsidRPr="00A466F3">
        <w:rPr>
          <w:rFonts w:cs="Arial"/>
          <w:szCs w:val="24"/>
        </w:rPr>
        <w:t xml:space="preserve">, plus CIL </w:t>
      </w:r>
      <w:r w:rsidR="00046DFF" w:rsidRPr="00A466F3">
        <w:rPr>
          <w:rFonts w:cs="Arial"/>
          <w:szCs w:val="24"/>
        </w:rPr>
        <w:t xml:space="preserve">received </w:t>
      </w:r>
      <w:r w:rsidR="008C0190" w:rsidRPr="00A466F3">
        <w:rPr>
          <w:rFonts w:cs="Arial"/>
          <w:szCs w:val="24"/>
        </w:rPr>
        <w:t>in 202</w:t>
      </w:r>
      <w:r w:rsidR="004B3B93" w:rsidRPr="00A466F3">
        <w:rPr>
          <w:rFonts w:cs="Arial"/>
          <w:szCs w:val="24"/>
        </w:rPr>
        <w:t>3/24</w:t>
      </w:r>
      <w:r w:rsidR="008C0190" w:rsidRPr="00A466F3">
        <w:rPr>
          <w:rFonts w:cs="Arial"/>
          <w:szCs w:val="24"/>
        </w:rPr>
        <w:t xml:space="preserve"> </w:t>
      </w:r>
      <w:r w:rsidR="00046DFF" w:rsidRPr="00A466F3">
        <w:rPr>
          <w:rFonts w:cs="Arial"/>
          <w:szCs w:val="24"/>
        </w:rPr>
        <w:t xml:space="preserve">to </w:t>
      </w:r>
      <w:r w:rsidR="004B3B93" w:rsidRPr="00A466F3">
        <w:rPr>
          <w:rFonts w:cs="Arial"/>
          <w:szCs w:val="24"/>
        </w:rPr>
        <w:t>26</w:t>
      </w:r>
      <w:r w:rsidR="004B3B93" w:rsidRPr="00A466F3">
        <w:rPr>
          <w:rFonts w:cs="Arial"/>
          <w:szCs w:val="24"/>
          <w:vertAlign w:val="superscript"/>
        </w:rPr>
        <w:t>th</w:t>
      </w:r>
      <w:r w:rsidR="004B3B93" w:rsidRPr="00A466F3">
        <w:rPr>
          <w:rFonts w:cs="Arial"/>
          <w:szCs w:val="24"/>
        </w:rPr>
        <w:t xml:space="preserve"> </w:t>
      </w:r>
      <w:r w:rsidR="00AD5A05" w:rsidRPr="00A466F3">
        <w:rPr>
          <w:rFonts w:cs="Arial"/>
          <w:szCs w:val="24"/>
        </w:rPr>
        <w:t>October</w:t>
      </w:r>
      <w:r w:rsidR="00D9099A" w:rsidRPr="00A466F3">
        <w:rPr>
          <w:rFonts w:cs="Arial"/>
          <w:szCs w:val="24"/>
        </w:rPr>
        <w:t xml:space="preserve"> 202</w:t>
      </w:r>
      <w:r w:rsidR="004B3B93" w:rsidRPr="00A466F3">
        <w:rPr>
          <w:rFonts w:cs="Arial"/>
          <w:szCs w:val="24"/>
        </w:rPr>
        <w:t>3</w:t>
      </w:r>
      <w:r w:rsidR="008C0190" w:rsidRPr="00A466F3">
        <w:rPr>
          <w:rFonts w:cs="Arial"/>
          <w:szCs w:val="24"/>
        </w:rPr>
        <w:t xml:space="preserve">, which </w:t>
      </w:r>
      <w:r w:rsidR="0008529A" w:rsidRPr="00A466F3">
        <w:rPr>
          <w:rFonts w:cs="Arial"/>
          <w:szCs w:val="24"/>
        </w:rPr>
        <w:t>show</w:t>
      </w:r>
      <w:r w:rsidR="008C0190" w:rsidRPr="00A466F3">
        <w:rPr>
          <w:rFonts w:cs="Arial"/>
          <w:szCs w:val="24"/>
        </w:rPr>
        <w:t>s</w:t>
      </w:r>
      <w:r w:rsidR="0008529A" w:rsidRPr="00A466F3">
        <w:rPr>
          <w:rFonts w:cs="Arial"/>
          <w:szCs w:val="24"/>
        </w:rPr>
        <w:t xml:space="preserve"> that £</w:t>
      </w:r>
      <w:r w:rsidR="004B3B93" w:rsidRPr="00A466F3">
        <w:rPr>
          <w:rFonts w:cs="Arial"/>
          <w:szCs w:val="24"/>
        </w:rPr>
        <w:t>9.584</w:t>
      </w:r>
      <w:r w:rsidR="0008529A" w:rsidRPr="00A466F3">
        <w:rPr>
          <w:rFonts w:cs="Arial"/>
          <w:szCs w:val="24"/>
        </w:rPr>
        <w:t xml:space="preserve">m of </w:t>
      </w:r>
      <w:r w:rsidR="00D9099A" w:rsidRPr="00A466F3">
        <w:rPr>
          <w:rFonts w:cs="Arial"/>
          <w:szCs w:val="24"/>
        </w:rPr>
        <w:t>BC</w:t>
      </w:r>
      <w:r w:rsidR="0008529A" w:rsidRPr="00A466F3">
        <w:rPr>
          <w:rFonts w:cs="Arial"/>
          <w:szCs w:val="24"/>
        </w:rPr>
        <w:t>IL</w:t>
      </w:r>
      <w:r w:rsidR="00D9099A" w:rsidRPr="00A466F3">
        <w:rPr>
          <w:rFonts w:cs="Arial"/>
          <w:szCs w:val="24"/>
        </w:rPr>
        <w:t xml:space="preserve"> and £</w:t>
      </w:r>
      <w:r w:rsidR="00AD5A05" w:rsidRPr="00A466F3">
        <w:rPr>
          <w:rFonts w:cs="Arial"/>
          <w:szCs w:val="24"/>
        </w:rPr>
        <w:t>2.</w:t>
      </w:r>
      <w:r w:rsidR="004B3B93" w:rsidRPr="00A466F3">
        <w:rPr>
          <w:rFonts w:cs="Arial"/>
          <w:szCs w:val="24"/>
        </w:rPr>
        <w:t>998</w:t>
      </w:r>
      <w:r w:rsidR="00D9099A" w:rsidRPr="00A466F3">
        <w:rPr>
          <w:rFonts w:cs="Arial"/>
          <w:szCs w:val="24"/>
        </w:rPr>
        <w:t>m of NCIL</w:t>
      </w:r>
      <w:r w:rsidR="00D528E1" w:rsidRPr="00A466F3">
        <w:rPr>
          <w:rFonts w:cs="Arial"/>
          <w:szCs w:val="24"/>
        </w:rPr>
        <w:t xml:space="preserve"> </w:t>
      </w:r>
      <w:r w:rsidR="008C0190" w:rsidRPr="00A466F3">
        <w:rPr>
          <w:rFonts w:cs="Arial"/>
          <w:szCs w:val="24"/>
        </w:rPr>
        <w:t>is available</w:t>
      </w:r>
      <w:r w:rsidR="00D9099A" w:rsidRPr="00A466F3">
        <w:rPr>
          <w:rFonts w:cs="Arial"/>
          <w:szCs w:val="24"/>
        </w:rPr>
        <w:t xml:space="preserve"> </w:t>
      </w:r>
      <w:r w:rsidR="000568CE" w:rsidRPr="00A466F3">
        <w:rPr>
          <w:rFonts w:cs="Arial"/>
          <w:szCs w:val="24"/>
        </w:rPr>
        <w:t>to fund projects from 202</w:t>
      </w:r>
      <w:r w:rsidR="00A466F3" w:rsidRPr="00A466F3">
        <w:rPr>
          <w:rFonts w:cs="Arial"/>
          <w:szCs w:val="24"/>
        </w:rPr>
        <w:t>3/24</w:t>
      </w:r>
      <w:r w:rsidR="000568CE" w:rsidRPr="00A466F3">
        <w:rPr>
          <w:rFonts w:cs="Arial"/>
          <w:szCs w:val="24"/>
        </w:rPr>
        <w:t xml:space="preserve"> onwards</w:t>
      </w:r>
      <w:r w:rsidR="00CC31A0" w:rsidRPr="00A466F3">
        <w:rPr>
          <w:rFonts w:cs="Arial"/>
          <w:szCs w:val="24"/>
        </w:rPr>
        <w:t>.</w:t>
      </w:r>
      <w:r w:rsidR="00C4317F" w:rsidRPr="00A466F3">
        <w:rPr>
          <w:rFonts w:cs="Arial"/>
          <w:szCs w:val="24"/>
        </w:rPr>
        <w:t xml:space="preserve">  </w:t>
      </w:r>
    </w:p>
    <w:p w14:paraId="18EC5215" w14:textId="77777777" w:rsidR="00A466F3" w:rsidRPr="00A466F3" w:rsidRDefault="00A466F3" w:rsidP="00A466F3">
      <w:pPr>
        <w:tabs>
          <w:tab w:val="num" w:pos="1985"/>
        </w:tabs>
        <w:ind w:left="567"/>
        <w:jc w:val="both"/>
        <w:rPr>
          <w:rFonts w:cs="Arial"/>
          <w:szCs w:val="24"/>
        </w:rPr>
      </w:pPr>
    </w:p>
    <w:p w14:paraId="0B03DCDE" w14:textId="42D54B29" w:rsidR="00F91FD2" w:rsidRDefault="00AD5A05" w:rsidP="00A3771B">
      <w:pPr>
        <w:ind w:firstLine="567"/>
        <w:jc w:val="both"/>
        <w:rPr>
          <w:rFonts w:cs="Arial"/>
          <w:b/>
          <w:bCs/>
          <w:szCs w:val="24"/>
        </w:rPr>
      </w:pPr>
      <w:r w:rsidRPr="00262003">
        <w:rPr>
          <w:rFonts w:cs="Arial"/>
          <w:b/>
          <w:bCs/>
          <w:szCs w:val="24"/>
        </w:rPr>
        <w:t xml:space="preserve">Table </w:t>
      </w:r>
      <w:r w:rsidR="00262003">
        <w:rPr>
          <w:rFonts w:cs="Arial"/>
          <w:b/>
          <w:bCs/>
          <w:szCs w:val="24"/>
        </w:rPr>
        <w:t>5</w:t>
      </w:r>
      <w:r w:rsidRPr="003314B4">
        <w:rPr>
          <w:rFonts w:cs="Arial"/>
          <w:b/>
          <w:bCs/>
          <w:szCs w:val="24"/>
        </w:rPr>
        <w:t xml:space="preserve"> – CIL Funding available as at </w:t>
      </w:r>
      <w:r w:rsidR="004B3B93">
        <w:rPr>
          <w:rFonts w:cs="Arial"/>
          <w:b/>
          <w:bCs/>
          <w:szCs w:val="24"/>
        </w:rPr>
        <w:t xml:space="preserve">26 </w:t>
      </w:r>
      <w:r w:rsidRPr="003314B4">
        <w:rPr>
          <w:rFonts w:cs="Arial"/>
          <w:b/>
          <w:bCs/>
          <w:szCs w:val="24"/>
        </w:rPr>
        <w:t>October 202</w:t>
      </w:r>
      <w:r w:rsidR="004B3B93">
        <w:rPr>
          <w:rFonts w:cs="Arial"/>
          <w:b/>
          <w:bCs/>
          <w:szCs w:val="24"/>
        </w:rPr>
        <w:t>3</w:t>
      </w:r>
    </w:p>
    <w:p w14:paraId="1623E952" w14:textId="119F6320" w:rsidR="00A3771B" w:rsidRDefault="0067433B" w:rsidP="00A3771B">
      <w:pPr>
        <w:ind w:firstLine="567"/>
        <w:jc w:val="both"/>
        <w:rPr>
          <w:rFonts w:cs="Arial"/>
          <w:b/>
          <w:bCs/>
          <w:szCs w:val="24"/>
        </w:rPr>
      </w:pPr>
      <w:r>
        <w:rPr>
          <w:rFonts w:cs="Arial"/>
          <w:b/>
          <w:bCs/>
          <w:noProof/>
          <w:szCs w:val="24"/>
        </w:rPr>
        <w:drawing>
          <wp:inline distT="0" distB="0" distL="0" distR="0" wp14:anchorId="2AAA707C" wp14:editId="594DD9E0">
            <wp:extent cx="5215738" cy="878345"/>
            <wp:effectExtent l="0" t="0" r="4445" b="0"/>
            <wp:docPr id="3" name="Picture 3"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numbers and lett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281816" cy="889473"/>
                    </a:xfrm>
                    <a:prstGeom prst="rect">
                      <a:avLst/>
                    </a:prstGeom>
                  </pic:spPr>
                </pic:pic>
              </a:graphicData>
            </a:graphic>
          </wp:inline>
        </w:drawing>
      </w:r>
    </w:p>
    <w:p w14:paraId="670687EF" w14:textId="7549DF48" w:rsidR="00D80F37" w:rsidRPr="00A3771B" w:rsidRDefault="00174200" w:rsidP="00A3771B">
      <w:pPr>
        <w:jc w:val="both"/>
        <w:rPr>
          <w:rFonts w:cs="Arial"/>
          <w:b/>
          <w:bCs/>
          <w:szCs w:val="24"/>
        </w:rPr>
      </w:pPr>
      <w:r>
        <w:rPr>
          <w:rFonts w:cs="Arial"/>
          <w:b/>
          <w:bCs/>
          <w:szCs w:val="24"/>
        </w:rPr>
        <w:tab/>
      </w:r>
    </w:p>
    <w:p w14:paraId="63842679" w14:textId="5A9050D9" w:rsidR="0008529A" w:rsidRDefault="00CC31A0">
      <w:pPr>
        <w:tabs>
          <w:tab w:val="num" w:pos="1985"/>
        </w:tabs>
        <w:ind w:left="567"/>
        <w:jc w:val="both"/>
        <w:rPr>
          <w:rFonts w:cs="Arial"/>
          <w:b/>
          <w:szCs w:val="24"/>
        </w:rPr>
      </w:pPr>
      <w:r>
        <w:rPr>
          <w:rFonts w:cs="Arial"/>
          <w:b/>
          <w:szCs w:val="24"/>
        </w:rPr>
        <w:t xml:space="preserve">     </w:t>
      </w:r>
    </w:p>
    <w:p w14:paraId="6D7A76B0" w14:textId="0E282052" w:rsidR="00DB7535" w:rsidRDefault="00DB7535">
      <w:pPr>
        <w:tabs>
          <w:tab w:val="num" w:pos="1985"/>
        </w:tabs>
        <w:ind w:left="567"/>
        <w:jc w:val="both"/>
        <w:rPr>
          <w:rFonts w:cs="Arial"/>
          <w:b/>
          <w:szCs w:val="24"/>
        </w:rPr>
      </w:pPr>
    </w:p>
    <w:p w14:paraId="346CB04C" w14:textId="48B42A87" w:rsidR="00DB7535" w:rsidRDefault="00DB7535">
      <w:pPr>
        <w:tabs>
          <w:tab w:val="num" w:pos="1985"/>
        </w:tabs>
        <w:ind w:left="567"/>
        <w:jc w:val="both"/>
        <w:rPr>
          <w:rFonts w:cs="Arial"/>
          <w:b/>
          <w:szCs w:val="24"/>
        </w:rPr>
      </w:pPr>
    </w:p>
    <w:p w14:paraId="42D04B7E" w14:textId="77777777" w:rsidR="00DB7535" w:rsidRPr="000770EA" w:rsidRDefault="00DB7535">
      <w:pPr>
        <w:tabs>
          <w:tab w:val="num" w:pos="1985"/>
        </w:tabs>
        <w:ind w:left="567"/>
        <w:jc w:val="both"/>
        <w:rPr>
          <w:rFonts w:cs="Arial"/>
          <w:szCs w:val="24"/>
          <w:highlight w:val="yellow"/>
        </w:rPr>
      </w:pPr>
    </w:p>
    <w:p w14:paraId="5FC4E478" w14:textId="28DC6F82" w:rsidR="003532AD" w:rsidRPr="003314B4" w:rsidRDefault="00DD2361" w:rsidP="00723CAC">
      <w:pPr>
        <w:pStyle w:val="ListParagraph"/>
        <w:numPr>
          <w:ilvl w:val="0"/>
          <w:numId w:val="27"/>
        </w:numPr>
        <w:jc w:val="both"/>
        <w:rPr>
          <w:rFonts w:cs="Arial"/>
          <w:szCs w:val="24"/>
        </w:rPr>
      </w:pPr>
      <w:r w:rsidRPr="00D528E1">
        <w:rPr>
          <w:rFonts w:cs="Arial"/>
          <w:szCs w:val="24"/>
        </w:rPr>
        <w:lastRenderedPageBreak/>
        <w:t xml:space="preserve">The </w:t>
      </w:r>
      <w:r w:rsidR="00F730D3" w:rsidRPr="00D528E1">
        <w:rPr>
          <w:rFonts w:cs="Arial"/>
          <w:szCs w:val="24"/>
        </w:rPr>
        <w:t xml:space="preserve">projects in </w:t>
      </w:r>
      <w:r w:rsidR="003532AD" w:rsidRPr="00D528E1">
        <w:rPr>
          <w:rFonts w:cs="Arial"/>
          <w:szCs w:val="24"/>
        </w:rPr>
        <w:t>the Capital Programme for 202</w:t>
      </w:r>
      <w:r w:rsidR="00A5471E">
        <w:rPr>
          <w:rFonts w:cs="Arial"/>
          <w:szCs w:val="24"/>
        </w:rPr>
        <w:t>3/24</w:t>
      </w:r>
      <w:r w:rsidR="003532AD" w:rsidRPr="00D528E1">
        <w:rPr>
          <w:rFonts w:cs="Arial"/>
          <w:szCs w:val="24"/>
        </w:rPr>
        <w:t xml:space="preserve"> to 202</w:t>
      </w:r>
      <w:r w:rsidR="00A5471E">
        <w:rPr>
          <w:rFonts w:cs="Arial"/>
          <w:szCs w:val="24"/>
        </w:rPr>
        <w:t>6/27</w:t>
      </w:r>
      <w:r w:rsidR="00F730D3" w:rsidRPr="00D528E1">
        <w:rPr>
          <w:rFonts w:cs="Arial"/>
          <w:szCs w:val="24"/>
        </w:rPr>
        <w:t>, to be funded from BCIL</w:t>
      </w:r>
      <w:r w:rsidR="00F23B5E">
        <w:rPr>
          <w:rFonts w:cs="Arial"/>
          <w:szCs w:val="24"/>
        </w:rPr>
        <w:t>,</w:t>
      </w:r>
      <w:r w:rsidR="003532AD" w:rsidRPr="00D528E1">
        <w:rPr>
          <w:rFonts w:cs="Arial"/>
          <w:szCs w:val="24"/>
        </w:rPr>
        <w:t xml:space="preserve"> </w:t>
      </w:r>
      <w:r w:rsidR="00F23B5E">
        <w:rPr>
          <w:rFonts w:cs="Arial"/>
          <w:szCs w:val="24"/>
        </w:rPr>
        <w:t>are</w:t>
      </w:r>
      <w:r w:rsidR="003532AD" w:rsidRPr="00D528E1">
        <w:rPr>
          <w:rFonts w:cs="Arial"/>
          <w:szCs w:val="24"/>
        </w:rPr>
        <w:t xml:space="preserve"> £</w:t>
      </w:r>
      <w:r w:rsidR="007A53A8">
        <w:rPr>
          <w:rFonts w:cs="Arial"/>
          <w:szCs w:val="24"/>
        </w:rPr>
        <w:t>6.186</w:t>
      </w:r>
      <w:r w:rsidR="003532AD" w:rsidRPr="00D528E1">
        <w:rPr>
          <w:rFonts w:cs="Arial"/>
          <w:szCs w:val="24"/>
        </w:rPr>
        <w:t xml:space="preserve">m </w:t>
      </w:r>
      <w:r w:rsidR="00F730D3" w:rsidRPr="00D528E1">
        <w:rPr>
          <w:rFonts w:cs="Arial"/>
          <w:szCs w:val="24"/>
        </w:rPr>
        <w:t xml:space="preserve">as set out in </w:t>
      </w:r>
      <w:r w:rsidR="00F730D3" w:rsidRPr="00262003">
        <w:rPr>
          <w:rFonts w:cs="Arial"/>
          <w:szCs w:val="24"/>
        </w:rPr>
        <w:t xml:space="preserve">Table </w:t>
      </w:r>
      <w:r w:rsidR="00262003" w:rsidRPr="00262003">
        <w:rPr>
          <w:rFonts w:cs="Arial"/>
          <w:szCs w:val="24"/>
        </w:rPr>
        <w:t>6</w:t>
      </w:r>
      <w:r w:rsidR="00F730D3" w:rsidRPr="00D528E1">
        <w:rPr>
          <w:rFonts w:cs="Arial"/>
          <w:szCs w:val="24"/>
        </w:rPr>
        <w:t xml:space="preserve"> which </w:t>
      </w:r>
      <w:r w:rsidR="003532AD" w:rsidRPr="00D528E1">
        <w:rPr>
          <w:rFonts w:cs="Arial"/>
          <w:szCs w:val="24"/>
        </w:rPr>
        <w:t>show</w:t>
      </w:r>
      <w:r w:rsidR="00F730D3" w:rsidRPr="00D528E1">
        <w:rPr>
          <w:rFonts w:cs="Arial"/>
          <w:szCs w:val="24"/>
        </w:rPr>
        <w:t>s</w:t>
      </w:r>
      <w:r w:rsidR="003532AD" w:rsidRPr="00D528E1">
        <w:rPr>
          <w:rFonts w:cs="Arial"/>
          <w:szCs w:val="24"/>
        </w:rPr>
        <w:t xml:space="preserve"> the </w:t>
      </w:r>
      <w:r w:rsidR="007B297B">
        <w:rPr>
          <w:rFonts w:cs="Arial"/>
          <w:szCs w:val="24"/>
        </w:rPr>
        <w:t xml:space="preserve">total </w:t>
      </w:r>
      <w:r w:rsidR="003532AD" w:rsidRPr="00D528E1">
        <w:rPr>
          <w:rFonts w:cs="Arial"/>
          <w:szCs w:val="24"/>
        </w:rPr>
        <w:t>spend over financial years.</w:t>
      </w:r>
    </w:p>
    <w:p w14:paraId="6225B6F0" w14:textId="5BE80AAC" w:rsidR="008C0190" w:rsidRDefault="008C0190" w:rsidP="008C0190">
      <w:pPr>
        <w:jc w:val="both"/>
        <w:rPr>
          <w:rFonts w:cs="Arial"/>
          <w:szCs w:val="24"/>
          <w:highlight w:val="yellow"/>
        </w:rPr>
      </w:pPr>
    </w:p>
    <w:p w14:paraId="6FEE617E" w14:textId="6125A2E3" w:rsidR="008C0190" w:rsidRDefault="0063526D" w:rsidP="00A3771B">
      <w:pPr>
        <w:ind w:firstLine="360"/>
        <w:jc w:val="both"/>
        <w:rPr>
          <w:rFonts w:cs="Arial"/>
          <w:b/>
          <w:bCs/>
          <w:szCs w:val="24"/>
        </w:rPr>
      </w:pPr>
      <w:r w:rsidRPr="00262003">
        <w:rPr>
          <w:rFonts w:cs="Arial"/>
          <w:b/>
          <w:bCs/>
          <w:szCs w:val="24"/>
        </w:rPr>
        <w:t xml:space="preserve">Table </w:t>
      </w:r>
      <w:r w:rsidR="00262003">
        <w:rPr>
          <w:rFonts w:cs="Arial"/>
          <w:b/>
          <w:bCs/>
          <w:szCs w:val="24"/>
        </w:rPr>
        <w:t>6</w:t>
      </w:r>
      <w:r w:rsidRPr="003314B4">
        <w:rPr>
          <w:rFonts w:cs="Arial"/>
          <w:b/>
          <w:bCs/>
          <w:szCs w:val="24"/>
        </w:rPr>
        <w:t>: Schemes funded from BCIL from 202</w:t>
      </w:r>
      <w:r w:rsidR="00A5471E">
        <w:rPr>
          <w:rFonts w:cs="Arial"/>
          <w:b/>
          <w:bCs/>
          <w:szCs w:val="24"/>
        </w:rPr>
        <w:t>3/24</w:t>
      </w:r>
      <w:r w:rsidRPr="003314B4">
        <w:rPr>
          <w:rFonts w:cs="Arial"/>
          <w:b/>
          <w:bCs/>
          <w:szCs w:val="24"/>
        </w:rPr>
        <w:t xml:space="preserve"> to 2025/26</w:t>
      </w:r>
    </w:p>
    <w:p w14:paraId="7CEDCDB3" w14:textId="5797186E" w:rsidR="00A3771B" w:rsidRPr="003314B4" w:rsidRDefault="00A3771B" w:rsidP="00A3771B">
      <w:pPr>
        <w:ind w:firstLine="360"/>
        <w:jc w:val="both"/>
        <w:rPr>
          <w:rFonts w:cs="Arial"/>
          <w:b/>
          <w:bCs/>
          <w:szCs w:val="24"/>
        </w:rPr>
      </w:pPr>
      <w:r>
        <w:rPr>
          <w:rFonts w:cs="Arial"/>
          <w:noProof/>
          <w:szCs w:val="24"/>
        </w:rPr>
        <w:drawing>
          <wp:inline distT="0" distB="0" distL="0" distR="0" wp14:anchorId="5A910E53" wp14:editId="09DF623E">
            <wp:extent cx="5391150" cy="2101635"/>
            <wp:effectExtent l="0" t="0" r="0" b="0"/>
            <wp:docPr id="7" name="Picture 7"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able with numbers and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17195" cy="2111788"/>
                    </a:xfrm>
                    <a:prstGeom prst="rect">
                      <a:avLst/>
                    </a:prstGeom>
                  </pic:spPr>
                </pic:pic>
              </a:graphicData>
            </a:graphic>
          </wp:inline>
        </w:drawing>
      </w:r>
    </w:p>
    <w:p w14:paraId="74CD2C37" w14:textId="2E2F063E" w:rsidR="005E232D" w:rsidRPr="003314B4" w:rsidRDefault="005E232D" w:rsidP="008C0190">
      <w:pPr>
        <w:jc w:val="both"/>
        <w:rPr>
          <w:rFonts w:cs="Arial"/>
          <w:szCs w:val="24"/>
        </w:rPr>
      </w:pPr>
    </w:p>
    <w:p w14:paraId="61C017FD" w14:textId="77777777" w:rsidR="005735EA" w:rsidRDefault="005735EA">
      <w:pPr>
        <w:jc w:val="both"/>
        <w:rPr>
          <w:rFonts w:cs="Arial"/>
          <w:szCs w:val="24"/>
        </w:rPr>
      </w:pPr>
    </w:p>
    <w:p w14:paraId="21653DD9" w14:textId="5E2E315F" w:rsidR="00F14CCD" w:rsidRPr="00C4317F" w:rsidRDefault="003532AD" w:rsidP="000232EB">
      <w:pPr>
        <w:pStyle w:val="ListParagraph"/>
        <w:numPr>
          <w:ilvl w:val="0"/>
          <w:numId w:val="27"/>
        </w:numPr>
        <w:rPr>
          <w:rFonts w:cs="Arial"/>
          <w:szCs w:val="24"/>
        </w:rPr>
      </w:pPr>
      <w:r w:rsidRPr="00C4317F">
        <w:rPr>
          <w:rFonts w:cs="Arial"/>
          <w:szCs w:val="24"/>
        </w:rPr>
        <w:t xml:space="preserve">The total current BCIL </w:t>
      </w:r>
      <w:r w:rsidR="00A61CB7" w:rsidRPr="00C4317F">
        <w:rPr>
          <w:rFonts w:cs="Arial"/>
          <w:szCs w:val="24"/>
        </w:rPr>
        <w:t>available as</w:t>
      </w:r>
      <w:r w:rsidR="00D528E1" w:rsidRPr="003314B4">
        <w:rPr>
          <w:rFonts w:cs="Arial"/>
          <w:szCs w:val="24"/>
          <w:vertAlign w:val="superscript"/>
        </w:rPr>
        <w:t xml:space="preserve"> </w:t>
      </w:r>
      <w:r w:rsidR="00D528E1" w:rsidRPr="003314B4">
        <w:rPr>
          <w:rFonts w:cs="Arial"/>
          <w:szCs w:val="24"/>
        </w:rPr>
        <w:t>at 2</w:t>
      </w:r>
      <w:r w:rsidR="007A53A8">
        <w:rPr>
          <w:rFonts w:cs="Arial"/>
          <w:szCs w:val="24"/>
        </w:rPr>
        <w:t>6</w:t>
      </w:r>
      <w:r w:rsidR="007A53A8" w:rsidRPr="007A53A8">
        <w:rPr>
          <w:rFonts w:cs="Arial"/>
          <w:szCs w:val="24"/>
          <w:vertAlign w:val="superscript"/>
        </w:rPr>
        <w:t>th</w:t>
      </w:r>
      <w:r w:rsidR="007A53A8">
        <w:rPr>
          <w:rFonts w:cs="Arial"/>
          <w:szCs w:val="24"/>
        </w:rPr>
        <w:t xml:space="preserve"> </w:t>
      </w:r>
      <w:r w:rsidR="00D528E1" w:rsidRPr="003314B4">
        <w:rPr>
          <w:rFonts w:cs="Arial"/>
          <w:szCs w:val="24"/>
        </w:rPr>
        <w:t>October</w:t>
      </w:r>
      <w:r w:rsidR="007A53A8">
        <w:rPr>
          <w:rFonts w:cs="Arial"/>
          <w:szCs w:val="24"/>
        </w:rPr>
        <w:t xml:space="preserve"> 2023</w:t>
      </w:r>
      <w:r w:rsidR="00A61CB7" w:rsidRPr="00C4317F">
        <w:rPr>
          <w:rFonts w:cs="Arial"/>
          <w:szCs w:val="24"/>
        </w:rPr>
        <w:t xml:space="preserve"> </w:t>
      </w:r>
      <w:r w:rsidRPr="00C4317F">
        <w:rPr>
          <w:rFonts w:cs="Arial"/>
          <w:szCs w:val="24"/>
        </w:rPr>
        <w:t>amounts to £</w:t>
      </w:r>
      <w:r w:rsidR="007A53A8">
        <w:rPr>
          <w:rFonts w:cs="Arial"/>
          <w:szCs w:val="24"/>
        </w:rPr>
        <w:t>9.584</w:t>
      </w:r>
      <w:r w:rsidRPr="00C4317F">
        <w:rPr>
          <w:rFonts w:cs="Arial"/>
          <w:szCs w:val="24"/>
        </w:rPr>
        <w:t>m</w:t>
      </w:r>
      <w:r w:rsidR="00663119" w:rsidRPr="00C4317F">
        <w:rPr>
          <w:rFonts w:cs="Arial"/>
          <w:szCs w:val="24"/>
        </w:rPr>
        <w:t xml:space="preserve"> as set out in </w:t>
      </w:r>
      <w:r w:rsidR="00663119" w:rsidRPr="00262003">
        <w:rPr>
          <w:rFonts w:cs="Arial"/>
          <w:szCs w:val="24"/>
        </w:rPr>
        <w:t xml:space="preserve">Table </w:t>
      </w:r>
      <w:r w:rsidR="00262003" w:rsidRPr="00262003">
        <w:rPr>
          <w:rFonts w:cs="Arial"/>
          <w:szCs w:val="24"/>
        </w:rPr>
        <w:t>5</w:t>
      </w:r>
      <w:r w:rsidR="00F14CCD" w:rsidRPr="00C4317F">
        <w:rPr>
          <w:rFonts w:cs="Arial"/>
          <w:szCs w:val="24"/>
        </w:rPr>
        <w:t xml:space="preserve">. </w:t>
      </w:r>
      <w:r w:rsidR="000232EB" w:rsidRPr="00C4317F">
        <w:rPr>
          <w:rFonts w:cs="Arial"/>
          <w:szCs w:val="24"/>
        </w:rPr>
        <w:t xml:space="preserve">  The </w:t>
      </w:r>
      <w:r w:rsidR="00A61CB7" w:rsidRPr="00C4317F">
        <w:rPr>
          <w:rFonts w:cs="Arial"/>
          <w:szCs w:val="24"/>
        </w:rPr>
        <w:t xml:space="preserve">total </w:t>
      </w:r>
      <w:r w:rsidRPr="00C4317F">
        <w:rPr>
          <w:rFonts w:cs="Arial"/>
          <w:szCs w:val="24"/>
        </w:rPr>
        <w:t xml:space="preserve">requirement </w:t>
      </w:r>
      <w:r w:rsidR="00F14CCD" w:rsidRPr="00C4317F">
        <w:rPr>
          <w:rFonts w:cs="Arial"/>
          <w:szCs w:val="24"/>
        </w:rPr>
        <w:t xml:space="preserve">for </w:t>
      </w:r>
      <w:r w:rsidRPr="00C4317F">
        <w:rPr>
          <w:rFonts w:cs="Arial"/>
          <w:szCs w:val="24"/>
        </w:rPr>
        <w:t xml:space="preserve">BCIL funding </w:t>
      </w:r>
      <w:r w:rsidR="00A61CB7" w:rsidRPr="00C4317F">
        <w:rPr>
          <w:rFonts w:cs="Arial"/>
          <w:szCs w:val="24"/>
        </w:rPr>
        <w:t>to cover the total commitment of the existing capital programme is £</w:t>
      </w:r>
      <w:r w:rsidR="000768F1">
        <w:rPr>
          <w:rFonts w:cs="Arial"/>
          <w:szCs w:val="24"/>
        </w:rPr>
        <w:t>6.186</w:t>
      </w:r>
      <w:r w:rsidR="00A61CB7" w:rsidRPr="00C4317F">
        <w:rPr>
          <w:rFonts w:cs="Arial"/>
          <w:szCs w:val="24"/>
        </w:rPr>
        <w:t xml:space="preserve">m as set out in </w:t>
      </w:r>
      <w:r w:rsidR="00A61CB7" w:rsidRPr="00262003">
        <w:rPr>
          <w:rFonts w:cs="Arial"/>
          <w:szCs w:val="24"/>
        </w:rPr>
        <w:t xml:space="preserve">Table </w:t>
      </w:r>
      <w:r w:rsidR="00262003">
        <w:rPr>
          <w:rFonts w:cs="Arial"/>
          <w:szCs w:val="24"/>
        </w:rPr>
        <w:t>6</w:t>
      </w:r>
      <w:r w:rsidR="00A61CB7" w:rsidRPr="00C4317F">
        <w:rPr>
          <w:rFonts w:cs="Arial"/>
          <w:szCs w:val="24"/>
        </w:rPr>
        <w:t xml:space="preserve">.  </w:t>
      </w:r>
      <w:r w:rsidRPr="00C4317F">
        <w:rPr>
          <w:rFonts w:cs="Arial"/>
          <w:szCs w:val="24"/>
        </w:rPr>
        <w:t xml:space="preserve">This means </w:t>
      </w:r>
      <w:r w:rsidR="00C4317F" w:rsidRPr="003314B4">
        <w:rPr>
          <w:rFonts w:cs="Arial"/>
          <w:szCs w:val="24"/>
        </w:rPr>
        <w:t xml:space="preserve">that </w:t>
      </w:r>
      <w:r w:rsidR="000768F1">
        <w:rPr>
          <w:rFonts w:cs="Arial"/>
          <w:szCs w:val="24"/>
        </w:rPr>
        <w:t>there is uncommitted BCIL funding of £3.398m available for further eligible projects</w:t>
      </w:r>
      <w:r w:rsidR="00262003">
        <w:rPr>
          <w:rFonts w:cs="Arial"/>
          <w:szCs w:val="24"/>
        </w:rPr>
        <w:t xml:space="preserve"> at the time of writing this report</w:t>
      </w:r>
      <w:r w:rsidR="000768F1">
        <w:rPr>
          <w:rFonts w:cs="Arial"/>
          <w:szCs w:val="24"/>
        </w:rPr>
        <w:t xml:space="preserve">. </w:t>
      </w:r>
      <w:r w:rsidR="00C4317F" w:rsidRPr="003314B4">
        <w:rPr>
          <w:rFonts w:cs="Arial"/>
          <w:szCs w:val="24"/>
        </w:rPr>
        <w:t xml:space="preserve">  </w:t>
      </w:r>
    </w:p>
    <w:p w14:paraId="440267C0" w14:textId="77777777" w:rsidR="00F14CCD" w:rsidRPr="00E947F4" w:rsidRDefault="00F14CCD" w:rsidP="00723CAC">
      <w:pPr>
        <w:pStyle w:val="ListParagraph"/>
        <w:ind w:left="360"/>
        <w:rPr>
          <w:rFonts w:cs="Arial"/>
          <w:szCs w:val="24"/>
        </w:rPr>
      </w:pPr>
    </w:p>
    <w:p w14:paraId="3B0C8CBE" w14:textId="4B6BD084" w:rsidR="00AB4FD9" w:rsidRPr="003314B4" w:rsidRDefault="00C4317F" w:rsidP="003314B4">
      <w:pPr>
        <w:pStyle w:val="ListParagraph"/>
        <w:numPr>
          <w:ilvl w:val="0"/>
          <w:numId w:val="27"/>
        </w:numPr>
      </w:pPr>
      <w:r w:rsidRPr="003314B4">
        <w:rPr>
          <w:rFonts w:cs="Arial"/>
          <w:szCs w:val="24"/>
        </w:rPr>
        <w:t>Given that BCIL averages £2m p</w:t>
      </w:r>
      <w:r w:rsidR="000768F1">
        <w:rPr>
          <w:rFonts w:cs="Arial"/>
          <w:szCs w:val="24"/>
        </w:rPr>
        <w:t xml:space="preserve">er </w:t>
      </w:r>
      <w:r w:rsidRPr="003314B4">
        <w:rPr>
          <w:rFonts w:cs="Arial"/>
          <w:szCs w:val="24"/>
        </w:rPr>
        <w:t>a</w:t>
      </w:r>
      <w:r w:rsidR="000768F1">
        <w:rPr>
          <w:rFonts w:cs="Arial"/>
          <w:szCs w:val="24"/>
        </w:rPr>
        <w:t>nnum</w:t>
      </w:r>
      <w:r w:rsidRPr="003314B4">
        <w:rPr>
          <w:rFonts w:cs="Arial"/>
          <w:szCs w:val="24"/>
        </w:rPr>
        <w:t xml:space="preserve">, it could be anticipated that a further £6m of BCIL would be </w:t>
      </w:r>
      <w:r w:rsidR="00E947F4" w:rsidRPr="003314B4">
        <w:rPr>
          <w:rFonts w:cs="Arial"/>
          <w:szCs w:val="24"/>
        </w:rPr>
        <w:t>received in 202</w:t>
      </w:r>
      <w:r w:rsidR="000768F1">
        <w:rPr>
          <w:rFonts w:cs="Arial"/>
          <w:szCs w:val="24"/>
        </w:rPr>
        <w:t>4/25</w:t>
      </w:r>
      <w:r w:rsidR="00E947F4" w:rsidRPr="003314B4">
        <w:rPr>
          <w:rFonts w:cs="Arial"/>
          <w:szCs w:val="24"/>
        </w:rPr>
        <w:t xml:space="preserve"> to 202</w:t>
      </w:r>
      <w:r w:rsidR="000768F1">
        <w:rPr>
          <w:rFonts w:cs="Arial"/>
          <w:szCs w:val="24"/>
        </w:rPr>
        <w:t>6/27</w:t>
      </w:r>
      <w:r w:rsidR="00E947F4" w:rsidRPr="003314B4">
        <w:rPr>
          <w:rFonts w:cs="Arial"/>
          <w:szCs w:val="24"/>
        </w:rPr>
        <w:t xml:space="preserve"> </w:t>
      </w:r>
      <w:r w:rsidRPr="003314B4">
        <w:rPr>
          <w:rFonts w:cs="Arial"/>
          <w:szCs w:val="24"/>
        </w:rPr>
        <w:t>available to fund</w:t>
      </w:r>
      <w:r w:rsidR="000768F1">
        <w:rPr>
          <w:rFonts w:cs="Arial"/>
          <w:szCs w:val="24"/>
        </w:rPr>
        <w:t xml:space="preserve"> new</w:t>
      </w:r>
      <w:r w:rsidRPr="003314B4">
        <w:rPr>
          <w:rFonts w:cs="Arial"/>
          <w:szCs w:val="24"/>
        </w:rPr>
        <w:t xml:space="preserve"> projects in the </w:t>
      </w:r>
      <w:r w:rsidR="009371AD">
        <w:rPr>
          <w:rFonts w:cs="Arial"/>
          <w:szCs w:val="24"/>
        </w:rPr>
        <w:t>C</w:t>
      </w:r>
      <w:r w:rsidRPr="003314B4">
        <w:rPr>
          <w:rFonts w:cs="Arial"/>
          <w:szCs w:val="24"/>
        </w:rPr>
        <w:t xml:space="preserve">apital Programme. </w:t>
      </w:r>
      <w:r w:rsidR="00E947F4" w:rsidRPr="003314B4">
        <w:rPr>
          <w:rFonts w:cs="Arial"/>
          <w:szCs w:val="24"/>
        </w:rPr>
        <w:t xml:space="preserve">This would then lead to a reduction in borrowing costs if schemes currently funded from borrowing could be substituted by BCIL funding instead </w:t>
      </w:r>
      <w:r w:rsidR="005E232D">
        <w:rPr>
          <w:rFonts w:cs="Arial"/>
          <w:szCs w:val="24"/>
        </w:rPr>
        <w:t>(</w:t>
      </w:r>
      <w:r w:rsidR="00E947F4" w:rsidRPr="003314B4">
        <w:rPr>
          <w:rFonts w:cs="Arial"/>
          <w:szCs w:val="24"/>
        </w:rPr>
        <w:t>subject to confirmation that they are eligible for BCIL funding</w:t>
      </w:r>
      <w:r w:rsidR="005E232D">
        <w:rPr>
          <w:rFonts w:cs="Arial"/>
          <w:szCs w:val="24"/>
        </w:rPr>
        <w:t>)</w:t>
      </w:r>
      <w:r w:rsidR="00E947F4" w:rsidRPr="003314B4">
        <w:rPr>
          <w:rFonts w:cs="Arial"/>
          <w:szCs w:val="24"/>
        </w:rPr>
        <w:t xml:space="preserve">. </w:t>
      </w:r>
      <w:r w:rsidR="00BB6F25">
        <w:rPr>
          <w:rFonts w:cs="Arial"/>
          <w:szCs w:val="24"/>
        </w:rPr>
        <w:t>A</w:t>
      </w:r>
      <w:r w:rsidR="00262003">
        <w:rPr>
          <w:rFonts w:cs="Arial"/>
          <w:szCs w:val="24"/>
        </w:rPr>
        <w:t xml:space="preserve">s detailed in </w:t>
      </w:r>
      <w:r w:rsidR="00262003" w:rsidRPr="005E0C91">
        <w:rPr>
          <w:rFonts w:cs="Arial"/>
          <w:szCs w:val="24"/>
        </w:rPr>
        <w:t xml:space="preserve">paragraph </w:t>
      </w:r>
      <w:r w:rsidR="0070244B" w:rsidRPr="00CB16F2">
        <w:rPr>
          <w:rFonts w:cs="Arial"/>
          <w:szCs w:val="24"/>
        </w:rPr>
        <w:t>19</w:t>
      </w:r>
      <w:r w:rsidR="00262003">
        <w:rPr>
          <w:rFonts w:cs="Arial"/>
          <w:szCs w:val="24"/>
        </w:rPr>
        <w:t xml:space="preserve">, considerations should also be given on the allocation of BCIL funding while the </w:t>
      </w:r>
      <w:r w:rsidR="006C5B3A">
        <w:rPr>
          <w:rFonts w:cs="Arial"/>
          <w:szCs w:val="24"/>
        </w:rPr>
        <w:t xml:space="preserve">updated IDP and </w:t>
      </w:r>
      <w:r w:rsidR="00262003">
        <w:rPr>
          <w:rFonts w:cs="Arial"/>
          <w:szCs w:val="24"/>
        </w:rPr>
        <w:t xml:space="preserve">Harrow Local Plan </w:t>
      </w:r>
      <w:r w:rsidR="006C5B3A">
        <w:rPr>
          <w:rFonts w:cs="Arial"/>
          <w:szCs w:val="24"/>
        </w:rPr>
        <w:t>are</w:t>
      </w:r>
      <w:r w:rsidR="00262003">
        <w:rPr>
          <w:rFonts w:cs="Arial"/>
          <w:szCs w:val="24"/>
        </w:rPr>
        <w:t xml:space="preserve"> being prepared.</w:t>
      </w:r>
    </w:p>
    <w:p w14:paraId="67F7DCE5" w14:textId="77777777" w:rsidR="00BE6EBC" w:rsidRPr="003314B4" w:rsidRDefault="00BE6EBC" w:rsidP="00723CAC">
      <w:pPr>
        <w:rPr>
          <w:rFonts w:cs="Arial"/>
          <w:szCs w:val="24"/>
        </w:rPr>
      </w:pPr>
    </w:p>
    <w:p w14:paraId="09FECB96" w14:textId="59C8A110" w:rsidR="00105B2C" w:rsidRDefault="006D68FB" w:rsidP="00A3771B">
      <w:pPr>
        <w:jc w:val="both"/>
        <w:rPr>
          <w:rFonts w:cs="Arial"/>
          <w:b/>
          <w:szCs w:val="24"/>
        </w:rPr>
      </w:pPr>
      <w:bookmarkStart w:id="2" w:name="_Hlk58236039"/>
      <w:r w:rsidRPr="00E947F4">
        <w:rPr>
          <w:rFonts w:cs="Arial"/>
          <w:b/>
          <w:szCs w:val="24"/>
        </w:rPr>
        <w:t>H</w:t>
      </w:r>
      <w:r w:rsidR="00914951" w:rsidRPr="00E947F4">
        <w:rPr>
          <w:rFonts w:cs="Arial"/>
          <w:b/>
          <w:szCs w:val="24"/>
        </w:rPr>
        <w:t xml:space="preserve">ousing Revenue Account </w:t>
      </w:r>
      <w:r w:rsidR="00105B2C" w:rsidRPr="00E947F4">
        <w:rPr>
          <w:rFonts w:cs="Arial"/>
          <w:b/>
          <w:szCs w:val="24"/>
        </w:rPr>
        <w:t>(HRA)</w:t>
      </w:r>
    </w:p>
    <w:p w14:paraId="00D7DA07" w14:textId="77777777" w:rsidR="00A3771B" w:rsidRPr="00E947F4" w:rsidRDefault="00A3771B" w:rsidP="00A3771B">
      <w:pPr>
        <w:jc w:val="both"/>
        <w:rPr>
          <w:rFonts w:cs="Arial"/>
          <w:b/>
          <w:szCs w:val="24"/>
        </w:rPr>
      </w:pPr>
    </w:p>
    <w:p w14:paraId="0ED4E2EE" w14:textId="022B407B" w:rsidR="00CA7F5A" w:rsidRPr="00C1132B" w:rsidRDefault="00105B2C" w:rsidP="00EA216C">
      <w:pPr>
        <w:pStyle w:val="ListParagraph"/>
        <w:numPr>
          <w:ilvl w:val="0"/>
          <w:numId w:val="27"/>
        </w:numPr>
        <w:jc w:val="both"/>
      </w:pPr>
      <w:r w:rsidRPr="00E947F4">
        <w:rPr>
          <w:rFonts w:cs="Arial"/>
          <w:szCs w:val="24"/>
        </w:rPr>
        <w:t xml:space="preserve">The </w:t>
      </w:r>
      <w:r w:rsidR="00BC19E9" w:rsidRPr="00E947F4">
        <w:rPr>
          <w:rFonts w:cs="Arial"/>
          <w:szCs w:val="24"/>
        </w:rPr>
        <w:t xml:space="preserve">proposed </w:t>
      </w:r>
      <w:r w:rsidRPr="00E947F4">
        <w:rPr>
          <w:rFonts w:cs="Arial"/>
          <w:szCs w:val="24"/>
        </w:rPr>
        <w:t>HRA Capital Programme</w:t>
      </w:r>
      <w:r w:rsidR="00F14CCD" w:rsidRPr="00E947F4">
        <w:rPr>
          <w:rFonts w:cs="Arial"/>
          <w:szCs w:val="24"/>
        </w:rPr>
        <w:t xml:space="preserve"> will be </w:t>
      </w:r>
      <w:r w:rsidRPr="00E947F4">
        <w:rPr>
          <w:rFonts w:cs="Arial"/>
          <w:szCs w:val="24"/>
        </w:rPr>
        <w:t xml:space="preserve">detailed in a separate report to Cabinet </w:t>
      </w:r>
      <w:r w:rsidR="00733870" w:rsidRPr="00E947F4">
        <w:rPr>
          <w:rFonts w:cs="Arial"/>
          <w:szCs w:val="24"/>
        </w:rPr>
        <w:t xml:space="preserve">in </w:t>
      </w:r>
      <w:r w:rsidR="00941485">
        <w:rPr>
          <w:rFonts w:cs="Arial"/>
          <w:szCs w:val="24"/>
        </w:rPr>
        <w:t>January</w:t>
      </w:r>
      <w:r w:rsidR="00733870" w:rsidRPr="00E947F4">
        <w:rPr>
          <w:rFonts w:cs="Arial"/>
          <w:szCs w:val="24"/>
        </w:rPr>
        <w:t xml:space="preserve"> 20</w:t>
      </w:r>
      <w:r w:rsidR="003C66D7" w:rsidRPr="00E947F4">
        <w:rPr>
          <w:rFonts w:cs="Arial"/>
          <w:szCs w:val="24"/>
        </w:rPr>
        <w:t>2</w:t>
      </w:r>
      <w:r w:rsidR="00794C2F">
        <w:rPr>
          <w:rFonts w:cs="Arial"/>
          <w:szCs w:val="24"/>
        </w:rPr>
        <w:t>4</w:t>
      </w:r>
      <w:r w:rsidR="00733870" w:rsidRPr="00E947F4">
        <w:rPr>
          <w:rFonts w:cs="Arial"/>
          <w:szCs w:val="24"/>
        </w:rPr>
        <w:t>.</w:t>
      </w:r>
      <w:r w:rsidR="00733870">
        <w:rPr>
          <w:rFonts w:cs="Arial"/>
          <w:szCs w:val="24"/>
        </w:rPr>
        <w:t xml:space="preserve"> </w:t>
      </w:r>
      <w:r w:rsidR="00E23647" w:rsidRPr="00F14CCD">
        <w:rPr>
          <w:rFonts w:cs="Arial"/>
          <w:szCs w:val="24"/>
        </w:rPr>
        <w:t>Any implications</w:t>
      </w:r>
      <w:r w:rsidR="00E23647" w:rsidRPr="00C1132B">
        <w:rPr>
          <w:rFonts w:cs="Arial"/>
          <w:szCs w:val="24"/>
        </w:rPr>
        <w:t xml:space="preserve"> from the HRA Capital Programme are funded from the Housing Revenue Account and do not impact upon the General Fund Budget.</w:t>
      </w:r>
      <w:r w:rsidR="00B17D40" w:rsidRPr="00C1132B">
        <w:rPr>
          <w:rFonts w:cs="Arial"/>
        </w:rPr>
        <w:t xml:space="preserve"> </w:t>
      </w:r>
      <w:r w:rsidR="00733870">
        <w:rPr>
          <w:rFonts w:cs="Arial"/>
        </w:rPr>
        <w:t xml:space="preserve"> The HRA Capital Programme will be included in the Final Capital Programme report going to </w:t>
      </w:r>
      <w:r w:rsidR="00794C2F">
        <w:rPr>
          <w:rFonts w:cs="Arial"/>
        </w:rPr>
        <w:t>C</w:t>
      </w:r>
      <w:r w:rsidR="00733870">
        <w:rPr>
          <w:rFonts w:cs="Arial"/>
        </w:rPr>
        <w:t>abinet in February 202</w:t>
      </w:r>
      <w:r w:rsidR="00794C2F">
        <w:rPr>
          <w:rFonts w:cs="Arial"/>
        </w:rPr>
        <w:t>4</w:t>
      </w:r>
      <w:r w:rsidR="00733870">
        <w:rPr>
          <w:rFonts w:cs="Arial"/>
        </w:rPr>
        <w:t>.</w:t>
      </w:r>
    </w:p>
    <w:bookmarkEnd w:id="2"/>
    <w:p w14:paraId="24EA1C23" w14:textId="77777777" w:rsidR="00A3771B" w:rsidRDefault="00A3771B" w:rsidP="00A3771B">
      <w:pPr>
        <w:tabs>
          <w:tab w:val="num" w:pos="2127"/>
        </w:tabs>
        <w:outlineLvl w:val="1"/>
        <w:rPr>
          <w:rFonts w:cs="Arial"/>
          <w:b/>
          <w:bCs/>
          <w:szCs w:val="24"/>
        </w:rPr>
      </w:pPr>
    </w:p>
    <w:p w14:paraId="1A22463F" w14:textId="44463DF6" w:rsidR="00480518" w:rsidRDefault="00480518" w:rsidP="00A3771B">
      <w:pPr>
        <w:tabs>
          <w:tab w:val="num" w:pos="2127"/>
        </w:tabs>
        <w:outlineLvl w:val="1"/>
        <w:rPr>
          <w:rFonts w:cs="Arial"/>
          <w:b/>
          <w:bCs/>
          <w:szCs w:val="24"/>
        </w:rPr>
      </w:pPr>
      <w:r w:rsidRPr="00EA216C">
        <w:rPr>
          <w:rFonts w:cs="Arial"/>
          <w:b/>
          <w:bCs/>
          <w:szCs w:val="24"/>
        </w:rPr>
        <w:t xml:space="preserve">Options considered </w:t>
      </w:r>
    </w:p>
    <w:p w14:paraId="55C3D8A3" w14:textId="77777777" w:rsidR="00A3771B" w:rsidRPr="00EA216C" w:rsidRDefault="00A3771B" w:rsidP="00A3771B">
      <w:pPr>
        <w:tabs>
          <w:tab w:val="num" w:pos="2127"/>
        </w:tabs>
        <w:outlineLvl w:val="1"/>
        <w:rPr>
          <w:rFonts w:cs="Arial"/>
          <w:b/>
          <w:bCs/>
          <w:szCs w:val="24"/>
        </w:rPr>
      </w:pPr>
    </w:p>
    <w:p w14:paraId="198A7123" w14:textId="239EFACE" w:rsidR="002D24E1" w:rsidRDefault="001F44EC" w:rsidP="00AB4FD9">
      <w:pPr>
        <w:numPr>
          <w:ilvl w:val="0"/>
          <w:numId w:val="27"/>
        </w:numPr>
        <w:tabs>
          <w:tab w:val="clear" w:pos="360"/>
          <w:tab w:val="num" w:pos="2268"/>
        </w:tabs>
        <w:ind w:left="426" w:hanging="426"/>
        <w:jc w:val="both"/>
      </w:pPr>
      <w:r>
        <w:t xml:space="preserve">A </w:t>
      </w:r>
      <w:r w:rsidR="00794C2F">
        <w:t xml:space="preserve">review of the current Capital Programme was undertaken </w:t>
      </w:r>
      <w:r>
        <w:t>during the budget setting process.</w:t>
      </w:r>
      <w:r w:rsidR="00BB6F25">
        <w:t xml:space="preserve"> The outcomes are set out in paragraph 6 of this report. These also form the basis for preparing </w:t>
      </w:r>
      <w:r w:rsidR="00E25E15">
        <w:t>the Draft Capital Programme 2024/25 to 2026/27.</w:t>
      </w:r>
    </w:p>
    <w:p w14:paraId="17E9F088" w14:textId="4BED016E" w:rsidR="00A3771B" w:rsidRDefault="00A3771B" w:rsidP="00A3771B">
      <w:pPr>
        <w:outlineLvl w:val="1"/>
      </w:pPr>
    </w:p>
    <w:p w14:paraId="5E5CBEF0" w14:textId="2715DF32" w:rsidR="00DB7535" w:rsidRDefault="00DB7535" w:rsidP="00A3771B">
      <w:pPr>
        <w:outlineLvl w:val="1"/>
      </w:pPr>
    </w:p>
    <w:p w14:paraId="0D204B1F" w14:textId="2AEEA274" w:rsidR="00DB7535" w:rsidRDefault="00DB7535" w:rsidP="00A3771B">
      <w:pPr>
        <w:outlineLvl w:val="1"/>
      </w:pPr>
    </w:p>
    <w:p w14:paraId="1FDB0CD7" w14:textId="31885FA2" w:rsidR="00DB7535" w:rsidRDefault="00DB7535" w:rsidP="00A3771B">
      <w:pPr>
        <w:outlineLvl w:val="1"/>
      </w:pPr>
    </w:p>
    <w:p w14:paraId="57C9A749" w14:textId="77777777" w:rsidR="00DB7535" w:rsidRDefault="00DB7535" w:rsidP="00A3771B">
      <w:pPr>
        <w:outlineLvl w:val="1"/>
      </w:pPr>
    </w:p>
    <w:p w14:paraId="3053A20E" w14:textId="04BD6029" w:rsidR="00480518" w:rsidRDefault="00480518" w:rsidP="00A3771B">
      <w:pPr>
        <w:outlineLvl w:val="1"/>
        <w:rPr>
          <w:rFonts w:cs="Arial"/>
          <w:b/>
          <w:bCs/>
          <w:szCs w:val="24"/>
        </w:rPr>
      </w:pPr>
      <w:r w:rsidRPr="00EA216C">
        <w:rPr>
          <w:rFonts w:cs="Arial"/>
          <w:b/>
          <w:bCs/>
          <w:szCs w:val="24"/>
        </w:rPr>
        <w:lastRenderedPageBreak/>
        <w:t>Legal Implications</w:t>
      </w:r>
    </w:p>
    <w:p w14:paraId="701EB4B2" w14:textId="77777777" w:rsidR="00A3771B" w:rsidRPr="00EA216C" w:rsidRDefault="00A3771B" w:rsidP="00A3771B">
      <w:pPr>
        <w:outlineLvl w:val="1"/>
        <w:rPr>
          <w:rFonts w:cs="Arial"/>
          <w:b/>
          <w:bCs/>
          <w:szCs w:val="24"/>
        </w:rPr>
      </w:pPr>
    </w:p>
    <w:p w14:paraId="137CC3A3" w14:textId="49D71A05" w:rsidR="00480518" w:rsidRDefault="00480518" w:rsidP="00EA216C">
      <w:pPr>
        <w:numPr>
          <w:ilvl w:val="0"/>
          <w:numId w:val="27"/>
        </w:numPr>
        <w:tabs>
          <w:tab w:val="clear" w:pos="360"/>
          <w:tab w:val="num" w:pos="2268"/>
        </w:tabs>
        <w:ind w:left="426" w:hanging="426"/>
        <w:jc w:val="both"/>
      </w:pPr>
      <w:r w:rsidRPr="00480518">
        <w:t>Under the Financial Regulations paragraph B2</w:t>
      </w:r>
      <w:r w:rsidR="003E2818">
        <w:t>,</w:t>
      </w:r>
      <w:r w:rsidRPr="00480518">
        <w:t xml:space="preserve"> full council is responsible for agreeing the </w:t>
      </w:r>
      <w:r w:rsidR="00093245" w:rsidRPr="00480518">
        <w:t>authority’s</w:t>
      </w:r>
      <w:r w:rsidRPr="00480518">
        <w:t xml:space="preserve"> policy framework which are proposed by </w:t>
      </w:r>
      <w:r w:rsidR="00F23B5E">
        <w:t>C</w:t>
      </w:r>
      <w:r w:rsidRPr="00480518">
        <w:t>abinet</w:t>
      </w:r>
      <w:r w:rsidR="00F23B5E">
        <w:t>,</w:t>
      </w:r>
      <w:r w:rsidR="00A4478B">
        <w:t xml:space="preserve">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14:paraId="5A782DE5" w14:textId="77777777" w:rsidR="00A3771B" w:rsidRDefault="00A3771B" w:rsidP="00A3771B">
      <w:pPr>
        <w:outlineLvl w:val="1"/>
      </w:pPr>
    </w:p>
    <w:p w14:paraId="61D42183" w14:textId="4F859364" w:rsidR="00480518" w:rsidRDefault="00480518" w:rsidP="00A3771B">
      <w:pPr>
        <w:outlineLvl w:val="1"/>
        <w:rPr>
          <w:rFonts w:cs="Arial"/>
          <w:b/>
          <w:bCs/>
          <w:szCs w:val="24"/>
        </w:rPr>
      </w:pPr>
      <w:r w:rsidRPr="00EA216C">
        <w:rPr>
          <w:rFonts w:cs="Arial"/>
          <w:b/>
          <w:bCs/>
          <w:szCs w:val="24"/>
        </w:rPr>
        <w:t>Financial Implications</w:t>
      </w:r>
    </w:p>
    <w:p w14:paraId="52743E11" w14:textId="77777777" w:rsidR="00A3771B" w:rsidRPr="00EA216C" w:rsidRDefault="00A3771B" w:rsidP="00A3771B">
      <w:pPr>
        <w:outlineLvl w:val="1"/>
        <w:rPr>
          <w:rFonts w:cs="Arial"/>
          <w:b/>
          <w:bCs/>
          <w:szCs w:val="24"/>
        </w:rPr>
      </w:pPr>
    </w:p>
    <w:p w14:paraId="22168B17" w14:textId="3771CEE1"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w:t>
      </w:r>
      <w:r w:rsidR="00F23B5E">
        <w:rPr>
          <w:rFonts w:cs="Arial"/>
          <w:szCs w:val="24"/>
        </w:rPr>
        <w:t>is</w:t>
      </w:r>
      <w:r w:rsidRPr="00480518">
        <w:rPr>
          <w:rFonts w:cs="Arial"/>
          <w:szCs w:val="24"/>
        </w:rPr>
        <w:t xml:space="preserv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09A34954" w:rsidR="00CA62F1" w:rsidRDefault="00CA62F1" w:rsidP="00A3771B">
      <w:pPr>
        <w:outlineLvl w:val="1"/>
        <w:rPr>
          <w:rFonts w:cs="Arial"/>
          <w:b/>
          <w:bCs/>
          <w:szCs w:val="24"/>
        </w:rPr>
      </w:pPr>
      <w:r w:rsidRPr="00EA216C">
        <w:rPr>
          <w:rFonts w:cs="Arial"/>
          <w:b/>
          <w:bCs/>
          <w:szCs w:val="24"/>
        </w:rPr>
        <w:t>Procurement Implications</w:t>
      </w:r>
    </w:p>
    <w:p w14:paraId="5840C7DF" w14:textId="77777777" w:rsidR="00A3771B" w:rsidRPr="00EA216C" w:rsidRDefault="00A3771B" w:rsidP="00A3771B">
      <w:pPr>
        <w:outlineLvl w:val="1"/>
        <w:rPr>
          <w:rFonts w:cs="Arial"/>
          <w:b/>
          <w:bCs/>
          <w:szCs w:val="24"/>
        </w:rPr>
      </w:pPr>
    </w:p>
    <w:p w14:paraId="2E97883D" w14:textId="77777777"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72E94CB0" w:rsidR="00480518" w:rsidRDefault="00480518" w:rsidP="00A3771B">
      <w:pPr>
        <w:outlineLvl w:val="1"/>
        <w:rPr>
          <w:rFonts w:cs="Arial"/>
          <w:b/>
          <w:bCs/>
          <w:szCs w:val="24"/>
        </w:rPr>
      </w:pPr>
      <w:r w:rsidRPr="00EA216C">
        <w:rPr>
          <w:rFonts w:cs="Arial"/>
          <w:b/>
          <w:bCs/>
          <w:szCs w:val="24"/>
        </w:rPr>
        <w:t>Performance Issues</w:t>
      </w:r>
    </w:p>
    <w:p w14:paraId="7B2FF34C" w14:textId="77777777" w:rsidR="00A3771B" w:rsidRPr="00EA216C" w:rsidRDefault="00A3771B" w:rsidP="00A3771B">
      <w:pPr>
        <w:outlineLvl w:val="1"/>
        <w:rPr>
          <w:rFonts w:cs="Arial"/>
          <w:b/>
          <w:bCs/>
          <w:szCs w:val="24"/>
        </w:rPr>
      </w:pPr>
    </w:p>
    <w:p w14:paraId="20797B57" w14:textId="77777777"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5B329408"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w:t>
      </w:r>
      <w:r w:rsidR="00914951">
        <w:rPr>
          <w:rFonts w:cs="Arial"/>
          <w:szCs w:val="24"/>
        </w:rPr>
        <w:t xml:space="preserve"> </w:t>
      </w:r>
      <w:r w:rsidR="00480518" w:rsidRPr="007F4BDA">
        <w:rPr>
          <w:rFonts w:cs="Arial"/>
          <w:szCs w:val="24"/>
        </w:rPr>
        <w:t xml:space="preserve">good financial management. </w:t>
      </w:r>
    </w:p>
    <w:p w14:paraId="510297BF" w14:textId="77777777" w:rsidR="007F4BDA" w:rsidRDefault="007F4BDA" w:rsidP="007F4BDA">
      <w:pPr>
        <w:pStyle w:val="ListParagraph"/>
        <w:rPr>
          <w:rFonts w:cs="Arial"/>
          <w:szCs w:val="24"/>
        </w:rPr>
      </w:pPr>
    </w:p>
    <w:p w14:paraId="6B844C81" w14:textId="51E5F97D" w:rsidR="00480518" w:rsidRPr="002D1345" w:rsidRDefault="00480518" w:rsidP="00EA216C">
      <w:pPr>
        <w:numPr>
          <w:ilvl w:val="0"/>
          <w:numId w:val="27"/>
        </w:numPr>
        <w:tabs>
          <w:tab w:val="clear" w:pos="360"/>
          <w:tab w:val="num" w:pos="2268"/>
        </w:tabs>
        <w:ind w:left="567" w:hanging="567"/>
        <w:jc w:val="both"/>
        <w:rPr>
          <w:b/>
          <w:color w:val="0000FF"/>
          <w:sz w:val="28"/>
          <w:szCs w:val="28"/>
        </w:rPr>
      </w:pPr>
      <w:r w:rsidRPr="002D1345">
        <w:t xml:space="preserve">It is proposed that a performance target is set </w:t>
      </w:r>
      <w:r w:rsidRPr="005E0C91">
        <w:t>of 90%</w:t>
      </w:r>
      <w:r w:rsidRPr="002D1345">
        <w:t xml:space="preserve"> of the approved budget </w:t>
      </w:r>
      <w:r w:rsidR="00D15CFA" w:rsidRPr="002D1345">
        <w:t>to be spent in year</w:t>
      </w:r>
      <w:r w:rsidRPr="002D1345">
        <w:t>.  Having approved an investment programme it is important that the programme is then substantially delivered in the planned timeframe, in line with member priorities.</w:t>
      </w:r>
    </w:p>
    <w:p w14:paraId="7A1229FC" w14:textId="77777777" w:rsidR="00A3771B" w:rsidRDefault="00A3771B" w:rsidP="00A3771B">
      <w:pPr>
        <w:outlineLvl w:val="1"/>
        <w:rPr>
          <w:rFonts w:cs="Arial"/>
          <w:b/>
          <w:bCs/>
          <w:szCs w:val="24"/>
        </w:rPr>
      </w:pPr>
    </w:p>
    <w:p w14:paraId="6C1A7A27" w14:textId="25E19A37" w:rsidR="001E7D41" w:rsidRDefault="001E7D41" w:rsidP="00A3771B">
      <w:pPr>
        <w:outlineLvl w:val="1"/>
        <w:rPr>
          <w:rFonts w:cs="Arial"/>
          <w:b/>
          <w:bCs/>
          <w:szCs w:val="24"/>
        </w:rPr>
      </w:pPr>
      <w:r w:rsidRPr="00EA216C">
        <w:rPr>
          <w:rFonts w:cs="Arial"/>
          <w:b/>
          <w:bCs/>
          <w:szCs w:val="24"/>
        </w:rPr>
        <w:t>Risk Management Implications</w:t>
      </w:r>
    </w:p>
    <w:p w14:paraId="5AE5F896" w14:textId="77777777" w:rsidR="00A3771B" w:rsidRPr="002E3BCA" w:rsidRDefault="00A3771B" w:rsidP="00A3771B">
      <w:pPr>
        <w:outlineLvl w:val="1"/>
        <w:rPr>
          <w:rFonts w:cs="Arial"/>
          <w:b/>
          <w:bCs/>
          <w:szCs w:val="24"/>
        </w:rPr>
      </w:pPr>
    </w:p>
    <w:p w14:paraId="4ECD1F48" w14:textId="1B9FEC78" w:rsidR="001E7D41" w:rsidRPr="00216043" w:rsidRDefault="001E7D41" w:rsidP="001E7D41">
      <w:pPr>
        <w:pStyle w:val="ListParagraph"/>
        <w:numPr>
          <w:ilvl w:val="0"/>
          <w:numId w:val="27"/>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zCs w:val="24"/>
          <w:lang w:val="en-US"/>
        </w:rPr>
        <w:t>No</w:t>
      </w:r>
    </w:p>
    <w:p w14:paraId="2E35E366" w14:textId="77777777" w:rsidR="001E7D41" w:rsidRPr="00216043" w:rsidRDefault="001E7D41" w:rsidP="001E7D41">
      <w:pPr>
        <w:tabs>
          <w:tab w:val="left" w:pos="426"/>
        </w:tabs>
        <w:ind w:left="360"/>
        <w:jc w:val="both"/>
        <w:rPr>
          <w:lang w:val="en-US"/>
        </w:rPr>
      </w:pPr>
    </w:p>
    <w:p w14:paraId="64619C84" w14:textId="4164A897" w:rsidR="001E7D41" w:rsidRPr="00216043" w:rsidRDefault="001E7D41" w:rsidP="001E7D41">
      <w:pPr>
        <w:pStyle w:val="ListParagraph"/>
        <w:numPr>
          <w:ilvl w:val="0"/>
          <w:numId w:val="27"/>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zCs w:val="24"/>
          <w:lang w:val="en-US" w:eastAsia="en-GB"/>
        </w:rPr>
        <w:t>No</w:t>
      </w:r>
    </w:p>
    <w:p w14:paraId="0FBE5357" w14:textId="77777777" w:rsidR="001E7D41" w:rsidRPr="00216043" w:rsidRDefault="001E7D41" w:rsidP="001E7D41">
      <w:pPr>
        <w:ind w:left="720"/>
        <w:rPr>
          <w:lang w:val="en-US"/>
        </w:rPr>
      </w:pPr>
    </w:p>
    <w:p w14:paraId="138FECDA" w14:textId="2E2B309A" w:rsidR="001E7D41" w:rsidRPr="00216043" w:rsidRDefault="001E7D41" w:rsidP="001E7D41">
      <w:pPr>
        <w:numPr>
          <w:ilvl w:val="0"/>
          <w:numId w:val="27"/>
        </w:numPr>
        <w:tabs>
          <w:tab w:val="clear" w:pos="360"/>
          <w:tab w:val="left" w:pos="5610"/>
        </w:tabs>
        <w:ind w:left="284" w:right="81"/>
        <w:rPr>
          <w:rFonts w:cs="Arial"/>
          <w:szCs w:val="24"/>
          <w:lang w:val="en-US" w:eastAsia="en-GB"/>
        </w:rPr>
      </w:pPr>
      <w:r w:rsidRPr="00216043">
        <w:t xml:space="preserve">The relevant risks contained in the register are attached/summarised below. </w:t>
      </w:r>
      <w:r w:rsidRPr="00216043">
        <w:rPr>
          <w:rFonts w:cs="Arial"/>
          <w:b/>
          <w:bCs/>
          <w:szCs w:val="24"/>
          <w:lang w:val="en-US" w:eastAsia="en-GB"/>
        </w:rPr>
        <w:t>n/a</w:t>
      </w:r>
    </w:p>
    <w:p w14:paraId="137E1C2C" w14:textId="5DE90E4E" w:rsidR="001E7D41" w:rsidRDefault="001E7D41" w:rsidP="001E7D41">
      <w:pPr>
        <w:tabs>
          <w:tab w:val="left" w:pos="426"/>
        </w:tabs>
        <w:ind w:left="360"/>
        <w:jc w:val="both"/>
        <w:rPr>
          <w:lang w:val="en-US"/>
        </w:rPr>
      </w:pPr>
    </w:p>
    <w:p w14:paraId="50D6BFCB" w14:textId="5988B971" w:rsidR="00DB7535" w:rsidRDefault="00DB7535" w:rsidP="001E7D41">
      <w:pPr>
        <w:tabs>
          <w:tab w:val="left" w:pos="426"/>
        </w:tabs>
        <w:ind w:left="360"/>
        <w:jc w:val="both"/>
        <w:rPr>
          <w:lang w:val="en-US"/>
        </w:rPr>
      </w:pPr>
    </w:p>
    <w:p w14:paraId="6D3F1710" w14:textId="2864BA0C" w:rsidR="00DB7535" w:rsidRDefault="00DB7535" w:rsidP="001E7D41">
      <w:pPr>
        <w:tabs>
          <w:tab w:val="left" w:pos="426"/>
        </w:tabs>
        <w:ind w:left="360"/>
        <w:jc w:val="both"/>
        <w:rPr>
          <w:lang w:val="en-US"/>
        </w:rPr>
      </w:pPr>
    </w:p>
    <w:p w14:paraId="3B42344E" w14:textId="75DD54EC" w:rsidR="00DB7535" w:rsidRDefault="00DB7535" w:rsidP="001E7D41">
      <w:pPr>
        <w:tabs>
          <w:tab w:val="left" w:pos="426"/>
        </w:tabs>
        <w:ind w:left="360"/>
        <w:jc w:val="both"/>
        <w:rPr>
          <w:lang w:val="en-US"/>
        </w:rPr>
      </w:pPr>
    </w:p>
    <w:p w14:paraId="470FD19A" w14:textId="44E8E221" w:rsidR="00DB7535" w:rsidRDefault="00DB7535" w:rsidP="001E7D41">
      <w:pPr>
        <w:tabs>
          <w:tab w:val="left" w:pos="426"/>
        </w:tabs>
        <w:ind w:left="360"/>
        <w:jc w:val="both"/>
        <w:rPr>
          <w:lang w:val="en-US"/>
        </w:rPr>
      </w:pPr>
    </w:p>
    <w:p w14:paraId="3537D605" w14:textId="3A1A42FA" w:rsidR="00DB7535" w:rsidRDefault="00DB7535" w:rsidP="001E7D41">
      <w:pPr>
        <w:tabs>
          <w:tab w:val="left" w:pos="426"/>
        </w:tabs>
        <w:ind w:left="360"/>
        <w:jc w:val="both"/>
        <w:rPr>
          <w:lang w:val="en-US"/>
        </w:rPr>
      </w:pPr>
    </w:p>
    <w:p w14:paraId="1C883D66" w14:textId="31A83DF5" w:rsidR="00DB7535" w:rsidRDefault="00DB7535" w:rsidP="001E7D41">
      <w:pPr>
        <w:tabs>
          <w:tab w:val="left" w:pos="426"/>
        </w:tabs>
        <w:ind w:left="360"/>
        <w:jc w:val="both"/>
        <w:rPr>
          <w:lang w:val="en-US"/>
        </w:rPr>
      </w:pPr>
    </w:p>
    <w:p w14:paraId="1E5DB9EC" w14:textId="0CB24504" w:rsidR="00DB7535" w:rsidRDefault="00DB7535" w:rsidP="001E7D41">
      <w:pPr>
        <w:tabs>
          <w:tab w:val="left" w:pos="426"/>
        </w:tabs>
        <w:ind w:left="360"/>
        <w:jc w:val="both"/>
        <w:rPr>
          <w:lang w:val="en-US"/>
        </w:rPr>
      </w:pPr>
    </w:p>
    <w:p w14:paraId="2E0E595C" w14:textId="7786ED05" w:rsidR="00DB7535" w:rsidRDefault="00DB7535" w:rsidP="001E7D41">
      <w:pPr>
        <w:tabs>
          <w:tab w:val="left" w:pos="426"/>
        </w:tabs>
        <w:ind w:left="360"/>
        <w:jc w:val="both"/>
        <w:rPr>
          <w:lang w:val="en-US"/>
        </w:rPr>
      </w:pPr>
    </w:p>
    <w:p w14:paraId="0E3FC76A" w14:textId="3FD1E4E1" w:rsidR="00DB7535" w:rsidRDefault="00DB7535" w:rsidP="001E7D41">
      <w:pPr>
        <w:tabs>
          <w:tab w:val="left" w:pos="426"/>
        </w:tabs>
        <w:ind w:left="360"/>
        <w:jc w:val="both"/>
        <w:rPr>
          <w:lang w:val="en-US"/>
        </w:rPr>
      </w:pPr>
    </w:p>
    <w:p w14:paraId="72466E7E" w14:textId="1309C10D" w:rsidR="00DB7535" w:rsidRDefault="00DB7535" w:rsidP="001E7D41">
      <w:pPr>
        <w:tabs>
          <w:tab w:val="left" w:pos="426"/>
        </w:tabs>
        <w:ind w:left="360"/>
        <w:jc w:val="both"/>
        <w:rPr>
          <w:lang w:val="en-US"/>
        </w:rPr>
      </w:pPr>
    </w:p>
    <w:p w14:paraId="783FCB23" w14:textId="4260FF7E" w:rsidR="00DB7535" w:rsidRDefault="00DB7535" w:rsidP="001E7D41">
      <w:pPr>
        <w:tabs>
          <w:tab w:val="left" w:pos="426"/>
        </w:tabs>
        <w:ind w:left="360"/>
        <w:jc w:val="both"/>
        <w:rPr>
          <w:lang w:val="en-US"/>
        </w:rPr>
      </w:pPr>
    </w:p>
    <w:p w14:paraId="1E364F54" w14:textId="77777777" w:rsidR="00DB7535" w:rsidRPr="00216043" w:rsidRDefault="00DB7535" w:rsidP="001E7D41">
      <w:pPr>
        <w:tabs>
          <w:tab w:val="left" w:pos="426"/>
        </w:tabs>
        <w:ind w:left="360"/>
        <w:jc w:val="both"/>
        <w:rPr>
          <w:lang w:val="en-US"/>
        </w:rPr>
      </w:pPr>
    </w:p>
    <w:p w14:paraId="39E52D2F" w14:textId="7B09B611" w:rsidR="00CC31A0" w:rsidRPr="00DB7535" w:rsidRDefault="001E7D41" w:rsidP="00DB7535">
      <w:pPr>
        <w:numPr>
          <w:ilvl w:val="0"/>
          <w:numId w:val="27"/>
        </w:numPr>
        <w:tabs>
          <w:tab w:val="clear" w:pos="360"/>
          <w:tab w:val="left" w:pos="5610"/>
        </w:tabs>
        <w:ind w:right="81"/>
      </w:pPr>
      <w:r w:rsidRPr="00216043">
        <w:lastRenderedPageBreak/>
        <w:t>The following key risks should be taken onto account when agreeing the recommendations in this report:</w:t>
      </w:r>
    </w:p>
    <w:p w14:paraId="641D29E7" w14:textId="77777777" w:rsidR="00A3771B" w:rsidRPr="00216043" w:rsidRDefault="00A3771B" w:rsidP="001E7D41">
      <w:pPr>
        <w:suppressAutoHyphens/>
        <w:autoSpaceDN w:val="0"/>
        <w:ind w:right="141" w:hanging="567"/>
        <w:textAlignment w:val="baseline"/>
        <w:rPr>
          <w:rFonts w:cs="Arial"/>
          <w:szCs w:val="24"/>
          <w:lang w:val="en-US" w:eastAsia="en-GB"/>
        </w:rPr>
      </w:pPr>
    </w:p>
    <w:tbl>
      <w:tblPr>
        <w:tblW w:w="9356" w:type="dxa"/>
        <w:tblInd w:w="-572" w:type="dxa"/>
        <w:tblCellMar>
          <w:left w:w="10" w:type="dxa"/>
          <w:right w:w="10" w:type="dxa"/>
        </w:tblCellMar>
        <w:tblLook w:val="0000" w:firstRow="0" w:lastRow="0" w:firstColumn="0" w:lastColumn="0" w:noHBand="0" w:noVBand="0"/>
      </w:tblPr>
      <w:tblGrid>
        <w:gridCol w:w="3837"/>
        <w:gridCol w:w="4624"/>
        <w:gridCol w:w="895"/>
      </w:tblGrid>
      <w:tr w:rsidR="001E7D41" w:rsidRPr="00216043" w14:paraId="11CA6622" w14:textId="77777777" w:rsidTr="003314B4">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46505" w14:textId="36058A56" w:rsidR="001E7D41" w:rsidRPr="00216043" w:rsidRDefault="001E7D41" w:rsidP="001F3B10">
            <w:pPr>
              <w:suppressAutoHyphens/>
              <w:autoSpaceDN w:val="0"/>
              <w:ind w:right="141"/>
              <w:textAlignment w:val="baseline"/>
              <w:rPr>
                <w:rFonts w:cs="Arial"/>
                <w:b/>
                <w:bCs/>
                <w:szCs w:val="24"/>
                <w:lang w:val="en-US" w:eastAsia="en-GB"/>
              </w:rPr>
            </w:pPr>
            <w:r w:rsidRPr="00216043">
              <w:rPr>
                <w:rFonts w:cs="Arial"/>
                <w:b/>
                <w:bCs/>
                <w:szCs w:val="24"/>
                <w:lang w:val="en-US" w:eastAsia="en-GB"/>
              </w:rPr>
              <w:t>Ris</w:t>
            </w:r>
            <w:r w:rsidR="00701213">
              <w:rPr>
                <w:rFonts w:cs="Arial"/>
                <w:b/>
                <w:bCs/>
                <w:szCs w:val="24"/>
                <w:lang w:val="en-US" w:eastAsia="en-GB"/>
              </w:rPr>
              <w:t xml:space="preserve">k </w:t>
            </w:r>
            <w:r w:rsidRPr="00216043">
              <w:rPr>
                <w:rFonts w:cs="Arial"/>
                <w:b/>
                <w:bCs/>
                <w:szCs w:val="24"/>
                <w:lang w:val="en-US" w:eastAsia="en-GB"/>
              </w:rPr>
              <w:t xml:space="preserve">Description </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41C81" w14:textId="77777777" w:rsidR="001E7D41" w:rsidRPr="00216043" w:rsidRDefault="001E7D41" w:rsidP="001F3B10">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96305D" w14:textId="77777777" w:rsidR="001E7D41" w:rsidRPr="00216043" w:rsidRDefault="001E7D41" w:rsidP="001F3B10">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1E7D41" w:rsidRPr="00216043" w14:paraId="119D2033" w14:textId="77777777" w:rsidTr="00623685">
        <w:trPr>
          <w:trHeight w:val="2972"/>
        </w:trPr>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CF40E" w14:textId="77777777" w:rsidR="001E7D41" w:rsidRDefault="001E7D41" w:rsidP="001F3B10">
            <w:pPr>
              <w:tabs>
                <w:tab w:val="left" w:pos="5610"/>
              </w:tabs>
              <w:ind w:right="81"/>
              <w:rPr>
                <w:rFonts w:cs="Arial"/>
                <w:szCs w:val="24"/>
              </w:rPr>
            </w:pPr>
          </w:p>
          <w:p w14:paraId="42D45246" w14:textId="77777777" w:rsidR="001E7D41" w:rsidRDefault="00623685" w:rsidP="008E7048">
            <w:pPr>
              <w:jc w:val="both"/>
              <w:rPr>
                <w:rFonts w:cs="Arial"/>
                <w:szCs w:val="24"/>
              </w:rPr>
            </w:pPr>
            <w:r w:rsidRPr="00D94D69">
              <w:rPr>
                <w:rFonts w:cs="Arial"/>
                <w:szCs w:val="24"/>
              </w:rPr>
              <w:t>Proposals put forward by Directorates are not part of an agreed Corporate Asset Management Plan(s)</w:t>
            </w:r>
            <w:r w:rsidR="00CF1994" w:rsidRPr="00D94D69">
              <w:rPr>
                <w:rFonts w:cs="Arial"/>
                <w:szCs w:val="24"/>
              </w:rPr>
              <w:t xml:space="preserve"> and therefore it is not possible to confirm that the proposals put forward cover the full estate which could</w:t>
            </w:r>
            <w:r w:rsidRPr="0080719B">
              <w:rPr>
                <w:rFonts w:cs="Arial"/>
                <w:color w:val="FF0000"/>
                <w:szCs w:val="24"/>
              </w:rPr>
              <w:t xml:space="preserve"> </w:t>
            </w:r>
            <w:r w:rsidR="001E7D41" w:rsidRPr="00216043">
              <w:rPr>
                <w:rFonts w:cs="Arial"/>
                <w:szCs w:val="24"/>
              </w:rPr>
              <w:t xml:space="preserve">lead to an increase in health and safety risks and additional costs in replacing assets </w:t>
            </w:r>
            <w:r w:rsidR="00CF1994">
              <w:rPr>
                <w:rFonts w:cs="Arial"/>
                <w:szCs w:val="24"/>
              </w:rPr>
              <w:t>if</w:t>
            </w:r>
            <w:r w:rsidR="001E7D41" w:rsidRPr="00216043">
              <w:rPr>
                <w:rFonts w:cs="Arial"/>
                <w:szCs w:val="24"/>
              </w:rPr>
              <w:t xml:space="preserve"> they deteriorate too much to repair.</w:t>
            </w:r>
          </w:p>
          <w:p w14:paraId="405DDE0F" w14:textId="4DDD6E11" w:rsidR="00A3771B" w:rsidRPr="008E7048" w:rsidRDefault="00A3771B" w:rsidP="008E7048">
            <w:pPr>
              <w:jc w:val="both"/>
              <w:rPr>
                <w:rFonts w:cs="Arial"/>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C3B5" w14:textId="77777777" w:rsidR="001E7D41" w:rsidRDefault="001E7D41" w:rsidP="001F3B10">
            <w:pPr>
              <w:suppressAutoHyphens/>
              <w:autoSpaceDN w:val="0"/>
              <w:ind w:right="141"/>
              <w:textAlignment w:val="baseline"/>
              <w:rPr>
                <w:rFonts w:cs="Arial"/>
                <w:szCs w:val="24"/>
                <w:lang w:val="en-US" w:eastAsia="en-GB"/>
              </w:rPr>
            </w:pPr>
          </w:p>
          <w:p w14:paraId="4CC623E1" w14:textId="50581956" w:rsidR="001E7D41" w:rsidRPr="00216043" w:rsidRDefault="001E7D41" w:rsidP="008E7048">
            <w:pPr>
              <w:suppressAutoHyphens/>
              <w:autoSpaceDN w:val="0"/>
              <w:ind w:left="171" w:right="141"/>
              <w:textAlignment w:val="baseline"/>
              <w:rPr>
                <w:rFonts w:cs="Arial"/>
                <w:szCs w:val="24"/>
                <w:lang w:val="en-US" w:eastAsia="en-GB"/>
              </w:rPr>
            </w:pPr>
            <w:r>
              <w:rPr>
                <w:rFonts w:cs="Arial"/>
                <w:szCs w:val="24"/>
                <w:lang w:val="en-US" w:eastAsia="en-GB"/>
              </w:rPr>
              <w:t xml:space="preserve">Two of the key criteria for including projects in the capital Programme are those projects that are needed to ensure that we continue to invest in our capital assets to ensure the Council meets </w:t>
            </w:r>
            <w:r w:rsidR="00331906">
              <w:rPr>
                <w:rFonts w:cs="Arial"/>
                <w:szCs w:val="24"/>
                <w:lang w:val="en-US" w:eastAsia="en-GB"/>
              </w:rPr>
              <w:t>its</w:t>
            </w:r>
            <w:r>
              <w:rPr>
                <w:rFonts w:cs="Arial"/>
                <w:szCs w:val="24"/>
                <w:lang w:val="en-US" w:eastAsia="en-GB"/>
              </w:rPr>
              <w:t xml:space="preserve"> requirements for both </w:t>
            </w:r>
            <w:r w:rsidRPr="00251588">
              <w:rPr>
                <w:rFonts w:cs="Arial"/>
                <w:szCs w:val="24"/>
                <w:lang w:val="en-US" w:eastAsia="en-GB"/>
              </w:rPr>
              <w:t>Life and Limb/Health and Safety</w:t>
            </w:r>
            <w:r>
              <w:rPr>
                <w:rFonts w:cs="Arial"/>
                <w:szCs w:val="24"/>
                <w:lang w:val="en-US" w:eastAsia="en-GB"/>
              </w:rPr>
              <w:t xml:space="preserve"> requirements and to fulfil the Council’s </w:t>
            </w:r>
            <w:r w:rsidRPr="00251588">
              <w:rPr>
                <w:rFonts w:cs="Arial"/>
                <w:szCs w:val="24"/>
                <w:lang w:val="en-US" w:eastAsia="en-GB"/>
              </w:rPr>
              <w:t xml:space="preserve">Statutory </w:t>
            </w:r>
            <w:r>
              <w:rPr>
                <w:rFonts w:cs="Arial"/>
                <w:szCs w:val="24"/>
                <w:lang w:val="en-US" w:eastAsia="en-GB"/>
              </w:rPr>
              <w:t>and legislative duties</w:t>
            </w:r>
            <w:r w:rsidR="00CF1994">
              <w:rPr>
                <w:rFonts w:cs="Arial"/>
                <w:szCs w:val="24"/>
                <w:lang w:val="en-US" w:eastAsia="en-GB"/>
              </w:rPr>
              <w:t>.</w:t>
            </w: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85B4CC5" w14:textId="77777777" w:rsidR="001E7D41" w:rsidRPr="00216043" w:rsidRDefault="001E7D41" w:rsidP="001F3B10">
            <w:pPr>
              <w:suppressAutoHyphens/>
              <w:autoSpaceDN w:val="0"/>
              <w:ind w:right="141"/>
              <w:textAlignment w:val="baseline"/>
              <w:rPr>
                <w:rFonts w:cs="Arial"/>
                <w:szCs w:val="24"/>
                <w:lang w:val="en-US" w:eastAsia="en-GB"/>
              </w:rPr>
            </w:pPr>
          </w:p>
        </w:tc>
      </w:tr>
      <w:tr w:rsidR="001E7D41" w:rsidRPr="00216043" w14:paraId="10768E2F" w14:textId="77777777" w:rsidTr="00ED006A">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8F6F4" w14:textId="77777777" w:rsidR="001E7D41" w:rsidRDefault="001E7D41" w:rsidP="001F3B10">
            <w:pPr>
              <w:suppressAutoHyphens/>
              <w:autoSpaceDN w:val="0"/>
              <w:ind w:right="141"/>
              <w:textAlignment w:val="baseline"/>
              <w:rPr>
                <w:rFonts w:cs="Arial"/>
                <w:szCs w:val="24"/>
              </w:rPr>
            </w:pPr>
          </w:p>
          <w:p w14:paraId="2B56D1D9" w14:textId="093419CD" w:rsidR="001E7D41" w:rsidRPr="00216043" w:rsidRDefault="001E7D41" w:rsidP="001F3B10">
            <w:pPr>
              <w:suppressAutoHyphens/>
              <w:autoSpaceDN w:val="0"/>
              <w:ind w:right="141"/>
              <w:textAlignment w:val="baseline"/>
              <w:rPr>
                <w:rFonts w:cs="Arial"/>
                <w:szCs w:val="24"/>
                <w:lang w:val="en-US" w:eastAsia="en-GB"/>
              </w:rPr>
            </w:pPr>
            <w:r>
              <w:rPr>
                <w:rFonts w:cs="Arial"/>
                <w:szCs w:val="24"/>
                <w:lang w:val="en-US" w:eastAsia="en-GB"/>
              </w:rPr>
              <w:t>The cost</w:t>
            </w:r>
            <w:r w:rsidR="00ED1E7E">
              <w:rPr>
                <w:rFonts w:cs="Arial"/>
                <w:szCs w:val="24"/>
                <w:lang w:val="en-US" w:eastAsia="en-GB"/>
              </w:rPr>
              <w:t>s</w:t>
            </w:r>
            <w:r>
              <w:rPr>
                <w:rFonts w:cs="Arial"/>
                <w:szCs w:val="24"/>
                <w:lang w:val="en-US" w:eastAsia="en-GB"/>
              </w:rPr>
              <w:t xml:space="preserve"> of the Capital proposals are not affordable.</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3831" w14:textId="77777777" w:rsidR="001E7D41" w:rsidRPr="00074A71" w:rsidRDefault="001E7D41" w:rsidP="001F3B10">
            <w:pPr>
              <w:suppressAutoHyphens/>
              <w:autoSpaceDN w:val="0"/>
              <w:ind w:left="54" w:right="141"/>
              <w:textAlignment w:val="baseline"/>
              <w:rPr>
                <w:rFonts w:cs="Arial"/>
                <w:szCs w:val="24"/>
              </w:rPr>
            </w:pPr>
          </w:p>
          <w:p w14:paraId="5D7057BA" w14:textId="3A8E1871" w:rsidR="00623685" w:rsidRPr="00CF1994" w:rsidRDefault="004050A5" w:rsidP="004050A5">
            <w:pPr>
              <w:suppressAutoHyphens/>
              <w:autoSpaceDN w:val="0"/>
              <w:ind w:left="54" w:right="141"/>
              <w:textAlignment w:val="baseline"/>
              <w:rPr>
                <w:rFonts w:cs="Arial"/>
                <w:szCs w:val="24"/>
              </w:rPr>
            </w:pPr>
            <w:r>
              <w:rPr>
                <w:rFonts w:cs="Arial"/>
                <w:szCs w:val="24"/>
              </w:rPr>
              <w:t xml:space="preserve">No new capital has been included in 2026/27 and therefore the capital financing costs of all proposals in the Capital Programme are included in the 3 year period covered by the current MTFS up to 2026/27.  </w:t>
            </w:r>
            <w:r w:rsidR="00623685" w:rsidRPr="00CF1994">
              <w:rPr>
                <w:rFonts w:cs="Arial"/>
                <w:szCs w:val="24"/>
              </w:rPr>
              <w:t>.</w:t>
            </w:r>
          </w:p>
          <w:p w14:paraId="1923675A" w14:textId="77777777" w:rsidR="001E7D41" w:rsidRPr="00074A71" w:rsidRDefault="001E7D41" w:rsidP="001F3B10">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58FAB8F7" w14:textId="77777777" w:rsidR="001E7D41" w:rsidRDefault="001E7D41" w:rsidP="001F3B10">
            <w:pPr>
              <w:suppressAutoHyphens/>
              <w:autoSpaceDN w:val="0"/>
              <w:ind w:right="141"/>
              <w:textAlignment w:val="baseline"/>
              <w:rPr>
                <w:rFonts w:cs="Arial"/>
                <w:szCs w:val="24"/>
                <w:lang w:val="en-US" w:eastAsia="en-GB"/>
              </w:rPr>
            </w:pPr>
          </w:p>
          <w:p w14:paraId="24F68EBA" w14:textId="77777777" w:rsidR="007B297B" w:rsidRPr="007B297B" w:rsidRDefault="007B297B" w:rsidP="007B297B">
            <w:pPr>
              <w:rPr>
                <w:rFonts w:cs="Arial"/>
                <w:szCs w:val="24"/>
                <w:lang w:val="en-US" w:eastAsia="en-GB"/>
              </w:rPr>
            </w:pPr>
          </w:p>
          <w:p w14:paraId="7E907170" w14:textId="77777777" w:rsidR="007B297B" w:rsidRPr="007B297B" w:rsidRDefault="007B297B" w:rsidP="007B297B">
            <w:pPr>
              <w:rPr>
                <w:rFonts w:cs="Arial"/>
                <w:szCs w:val="24"/>
                <w:lang w:val="en-US" w:eastAsia="en-GB"/>
              </w:rPr>
            </w:pPr>
          </w:p>
          <w:p w14:paraId="34B4047D" w14:textId="77777777" w:rsidR="007B297B" w:rsidRPr="007B297B" w:rsidRDefault="007B297B" w:rsidP="007B297B">
            <w:pPr>
              <w:rPr>
                <w:rFonts w:cs="Arial"/>
                <w:szCs w:val="24"/>
                <w:lang w:val="en-US" w:eastAsia="en-GB"/>
              </w:rPr>
            </w:pPr>
          </w:p>
          <w:p w14:paraId="661EBA47" w14:textId="77777777" w:rsidR="007B297B" w:rsidRDefault="007B297B" w:rsidP="007B297B">
            <w:pPr>
              <w:rPr>
                <w:rFonts w:cs="Arial"/>
                <w:szCs w:val="24"/>
                <w:lang w:val="en-US" w:eastAsia="en-GB"/>
              </w:rPr>
            </w:pPr>
          </w:p>
          <w:p w14:paraId="7E40A13D" w14:textId="791CEF8C" w:rsidR="007B297B" w:rsidRPr="007B297B" w:rsidRDefault="007B297B" w:rsidP="007B297B">
            <w:pPr>
              <w:rPr>
                <w:rFonts w:cs="Arial"/>
                <w:szCs w:val="24"/>
                <w:lang w:val="en-US" w:eastAsia="en-GB"/>
              </w:rPr>
            </w:pPr>
          </w:p>
        </w:tc>
      </w:tr>
      <w:tr w:rsidR="001E7D41" w:rsidRPr="00216043" w14:paraId="4F7B75B1" w14:textId="77777777" w:rsidTr="007B297B">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6E3C1" w14:textId="77777777" w:rsidR="001E7D41" w:rsidRPr="00216043" w:rsidRDefault="001E7D41" w:rsidP="001F3B10">
            <w:pPr>
              <w:suppressAutoHyphens/>
              <w:autoSpaceDN w:val="0"/>
              <w:ind w:right="141"/>
              <w:textAlignment w:val="baseline"/>
              <w:rPr>
                <w:rFonts w:cs="Arial"/>
                <w:szCs w:val="24"/>
                <w:lang w:val="en-US" w:eastAsia="en-GB"/>
              </w:rPr>
            </w:pPr>
            <w:r w:rsidRPr="00216043">
              <w:rPr>
                <w:rFonts w:cs="Arial"/>
                <w:szCs w:val="24"/>
                <w:lang w:val="en-US" w:eastAsia="en-GB"/>
              </w:rPr>
              <w:t>The risk that the required level of BCIL does not materialise</w:t>
            </w:r>
            <w:r>
              <w:rPr>
                <w:rFonts w:cs="Arial"/>
                <w:szCs w:val="24"/>
                <w:lang w:val="en-US" w:eastAsia="en-GB"/>
              </w:rPr>
              <w:t xml:space="preserve">. </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685D" w14:textId="6AAEE576" w:rsidR="001E7D41" w:rsidRPr="00216043" w:rsidRDefault="001E7D41" w:rsidP="00D94D69">
            <w:pPr>
              <w:suppressAutoHyphens/>
              <w:autoSpaceDN w:val="0"/>
              <w:ind w:right="141"/>
              <w:textAlignment w:val="baseline"/>
              <w:rPr>
                <w:rFonts w:cs="Arial"/>
                <w:szCs w:val="24"/>
                <w:lang w:val="en-US" w:eastAsia="en-GB"/>
              </w:rPr>
            </w:pPr>
            <w:r>
              <w:rPr>
                <w:rFonts w:cs="Arial"/>
                <w:szCs w:val="24"/>
                <w:lang w:val="en-US" w:eastAsia="en-GB"/>
              </w:rPr>
              <w:t>As the Capital programme is an annual process and the BCIL funding is now included in the report each year</w:t>
            </w:r>
            <w:r w:rsidR="007B297B">
              <w:rPr>
                <w:rFonts w:cs="Arial"/>
                <w:szCs w:val="24"/>
                <w:lang w:val="en-US" w:eastAsia="en-GB"/>
              </w:rPr>
              <w:t xml:space="preserve"> to </w:t>
            </w:r>
            <w:r w:rsidR="001E203D">
              <w:rPr>
                <w:rFonts w:cs="Arial"/>
                <w:szCs w:val="24"/>
                <w:lang w:val="en-US" w:eastAsia="en-GB"/>
              </w:rPr>
              <w:t>C</w:t>
            </w:r>
            <w:r w:rsidR="007B297B">
              <w:rPr>
                <w:rFonts w:cs="Arial"/>
                <w:szCs w:val="24"/>
                <w:lang w:val="en-US" w:eastAsia="en-GB"/>
              </w:rPr>
              <w:t>abinet</w:t>
            </w:r>
            <w:r>
              <w:rPr>
                <w:rFonts w:cs="Arial"/>
                <w:szCs w:val="24"/>
                <w:lang w:val="en-US" w:eastAsia="en-GB"/>
              </w:rPr>
              <w:t>, th</w:t>
            </w:r>
            <w:r w:rsidR="008E7048">
              <w:rPr>
                <w:rFonts w:cs="Arial"/>
                <w:szCs w:val="24"/>
                <w:lang w:val="en-US" w:eastAsia="en-GB"/>
              </w:rPr>
              <w:t>e availability of BCIL to fund the Capital Programme</w:t>
            </w:r>
            <w:r>
              <w:rPr>
                <w:rFonts w:cs="Arial"/>
                <w:szCs w:val="24"/>
                <w:lang w:val="en-US" w:eastAsia="en-GB"/>
              </w:rPr>
              <w:t xml:space="preserve"> </w:t>
            </w:r>
            <w:r w:rsidR="007B297B">
              <w:rPr>
                <w:rFonts w:cs="Arial"/>
                <w:szCs w:val="24"/>
                <w:lang w:val="en-US" w:eastAsia="en-GB"/>
              </w:rPr>
              <w:t>is</w:t>
            </w:r>
            <w:r>
              <w:rPr>
                <w:rFonts w:cs="Arial"/>
                <w:szCs w:val="24"/>
                <w:lang w:val="en-US" w:eastAsia="en-GB"/>
              </w:rPr>
              <w:t xml:space="preserve"> kept under review.</w:t>
            </w:r>
            <w:r w:rsidR="008E7048">
              <w:rPr>
                <w:rFonts w:cs="Arial"/>
                <w:szCs w:val="24"/>
                <w:lang w:val="en-US" w:eastAsia="en-GB"/>
              </w:rPr>
              <w:t xml:space="preserve">  </w:t>
            </w:r>
            <w:r w:rsidR="007B297B">
              <w:rPr>
                <w:rFonts w:cs="Arial"/>
                <w:szCs w:val="24"/>
                <w:lang w:val="en-US" w:eastAsia="en-GB"/>
              </w:rPr>
              <w:t>In normal circumstances, s</w:t>
            </w:r>
            <w:r w:rsidR="008E7048">
              <w:rPr>
                <w:rFonts w:cs="Arial"/>
                <w:szCs w:val="24"/>
                <w:lang w:val="en-US" w:eastAsia="en-GB"/>
              </w:rPr>
              <w:t>hould the level of BCIL not be sufficient then either the schemes can be removed from the programme or funded from an alternative source. If that source is borrowing then the revenue cost of borrowing will need to be included in the revenue budget.</w:t>
            </w:r>
            <w:r w:rsidR="007B297B">
              <w:rPr>
                <w:rFonts w:cs="Arial"/>
                <w:szCs w:val="24"/>
                <w:lang w:val="en-US" w:eastAsia="en-GB"/>
              </w:rPr>
              <w:t xml:space="preserve"> However, for 202</w:t>
            </w:r>
            <w:r w:rsidR="00ED1E7E">
              <w:rPr>
                <w:rFonts w:cs="Arial"/>
                <w:szCs w:val="24"/>
                <w:lang w:val="en-US" w:eastAsia="en-GB"/>
              </w:rPr>
              <w:t>3/24</w:t>
            </w:r>
            <w:r w:rsidR="007B297B">
              <w:rPr>
                <w:rFonts w:cs="Arial"/>
                <w:szCs w:val="24"/>
                <w:lang w:val="en-US" w:eastAsia="en-GB"/>
              </w:rPr>
              <w:t xml:space="preserve"> </w:t>
            </w:r>
            <w:r w:rsidR="00ED1E7E">
              <w:rPr>
                <w:rFonts w:cs="Arial"/>
                <w:szCs w:val="24"/>
                <w:lang w:val="en-US" w:eastAsia="en-GB"/>
              </w:rPr>
              <w:t xml:space="preserve">there is sufficient BCIL funding to meet existing commitments in the Capital Programme </w:t>
            </w:r>
            <w:r w:rsidR="007B297B">
              <w:rPr>
                <w:rFonts w:cs="Arial"/>
                <w:szCs w:val="24"/>
                <w:lang w:val="en-US" w:eastAsia="en-GB"/>
              </w:rPr>
              <w:t>-see paragraphs 2</w:t>
            </w:r>
            <w:r w:rsidR="00ED1E7E">
              <w:rPr>
                <w:rFonts w:cs="Arial"/>
                <w:szCs w:val="24"/>
                <w:lang w:val="en-US" w:eastAsia="en-GB"/>
              </w:rPr>
              <w:t>4</w:t>
            </w:r>
            <w:r w:rsidR="007B297B">
              <w:rPr>
                <w:rFonts w:cs="Arial"/>
                <w:szCs w:val="24"/>
                <w:lang w:val="en-US" w:eastAsia="en-GB"/>
              </w:rPr>
              <w:t xml:space="preserve"> and 2</w:t>
            </w:r>
            <w:r w:rsidR="00ED1E7E">
              <w:rPr>
                <w:rFonts w:cs="Arial"/>
                <w:szCs w:val="24"/>
                <w:lang w:val="en-US" w:eastAsia="en-GB"/>
              </w:rPr>
              <w:t>5</w:t>
            </w:r>
            <w:r w:rsidR="007B297B">
              <w:rPr>
                <w:rFonts w:cs="Arial"/>
                <w:szCs w:val="24"/>
                <w:lang w:val="en-US" w:eastAsia="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710D2A5" w14:textId="77777777" w:rsidR="001E7D41" w:rsidRDefault="001E7D41" w:rsidP="001F3B10">
            <w:pPr>
              <w:suppressAutoHyphens/>
              <w:autoSpaceDN w:val="0"/>
              <w:ind w:right="141"/>
              <w:textAlignment w:val="baseline"/>
              <w:rPr>
                <w:rFonts w:cs="Arial"/>
                <w:szCs w:val="24"/>
                <w:lang w:val="en-US" w:eastAsia="en-GB"/>
              </w:rPr>
            </w:pPr>
          </w:p>
          <w:p w14:paraId="6148E7AF" w14:textId="77777777" w:rsidR="007B297B" w:rsidRPr="007B297B" w:rsidRDefault="007B297B" w:rsidP="007B297B">
            <w:pPr>
              <w:rPr>
                <w:rFonts w:cs="Arial"/>
                <w:szCs w:val="24"/>
                <w:lang w:val="en-US" w:eastAsia="en-GB"/>
              </w:rPr>
            </w:pPr>
          </w:p>
          <w:p w14:paraId="44ED0F6C" w14:textId="77777777" w:rsidR="007B297B" w:rsidRPr="007B297B" w:rsidRDefault="007B297B" w:rsidP="007B297B">
            <w:pPr>
              <w:rPr>
                <w:rFonts w:cs="Arial"/>
                <w:szCs w:val="24"/>
                <w:lang w:val="en-US" w:eastAsia="en-GB"/>
              </w:rPr>
            </w:pPr>
          </w:p>
          <w:p w14:paraId="55757CD2" w14:textId="77777777" w:rsidR="007B297B" w:rsidRPr="007B297B" w:rsidRDefault="007B297B" w:rsidP="007B297B">
            <w:pPr>
              <w:rPr>
                <w:rFonts w:cs="Arial"/>
                <w:szCs w:val="24"/>
                <w:lang w:val="en-US" w:eastAsia="en-GB"/>
              </w:rPr>
            </w:pPr>
          </w:p>
          <w:p w14:paraId="17427549" w14:textId="77777777" w:rsidR="007B297B" w:rsidRDefault="007B297B" w:rsidP="007B297B">
            <w:pPr>
              <w:rPr>
                <w:rFonts w:cs="Arial"/>
                <w:szCs w:val="24"/>
                <w:lang w:val="en-US" w:eastAsia="en-GB"/>
              </w:rPr>
            </w:pPr>
          </w:p>
          <w:p w14:paraId="130BA201" w14:textId="77777777" w:rsidR="007B297B" w:rsidRDefault="007B297B" w:rsidP="007B297B">
            <w:pPr>
              <w:rPr>
                <w:rFonts w:cs="Arial"/>
                <w:szCs w:val="24"/>
                <w:lang w:val="en-US" w:eastAsia="en-GB"/>
              </w:rPr>
            </w:pPr>
          </w:p>
          <w:p w14:paraId="3E2C2367" w14:textId="77777777" w:rsidR="007B297B" w:rsidRPr="007B297B" w:rsidRDefault="007B297B" w:rsidP="007B297B">
            <w:pPr>
              <w:rPr>
                <w:rFonts w:cs="Arial"/>
                <w:szCs w:val="24"/>
                <w:lang w:val="en-US" w:eastAsia="en-GB"/>
              </w:rPr>
            </w:pPr>
          </w:p>
          <w:p w14:paraId="2792999A" w14:textId="77777777" w:rsidR="007B297B" w:rsidRPr="007B297B" w:rsidRDefault="007B297B" w:rsidP="007B297B">
            <w:pPr>
              <w:rPr>
                <w:rFonts w:cs="Arial"/>
                <w:szCs w:val="24"/>
                <w:lang w:val="en-US" w:eastAsia="en-GB"/>
              </w:rPr>
            </w:pPr>
          </w:p>
          <w:p w14:paraId="3F9AB485" w14:textId="77777777" w:rsidR="007B297B" w:rsidRDefault="007B297B" w:rsidP="007B297B">
            <w:pPr>
              <w:rPr>
                <w:rFonts w:cs="Arial"/>
                <w:szCs w:val="24"/>
                <w:lang w:val="en-US" w:eastAsia="en-GB"/>
              </w:rPr>
            </w:pPr>
          </w:p>
          <w:p w14:paraId="2443936D" w14:textId="3E1B7D17" w:rsidR="007B297B" w:rsidRPr="007B297B" w:rsidRDefault="007B297B" w:rsidP="007B297B">
            <w:pPr>
              <w:rPr>
                <w:rFonts w:cs="Arial"/>
                <w:szCs w:val="24"/>
                <w:lang w:val="en-US" w:eastAsia="en-GB"/>
              </w:rPr>
            </w:pPr>
          </w:p>
        </w:tc>
      </w:tr>
    </w:tbl>
    <w:p w14:paraId="60530ABC" w14:textId="625F42F0" w:rsidR="00480518" w:rsidRDefault="00480518" w:rsidP="00480518">
      <w:pPr>
        <w:ind w:left="567" w:right="141" w:hanging="567"/>
        <w:rPr>
          <w:rFonts w:cs="Arial"/>
          <w:szCs w:val="24"/>
        </w:rPr>
      </w:pPr>
    </w:p>
    <w:p w14:paraId="77FD3098" w14:textId="473E3E3D" w:rsidR="00331906" w:rsidRDefault="00331906" w:rsidP="00DB7535">
      <w:pPr>
        <w:ind w:right="141"/>
        <w:rPr>
          <w:rFonts w:cs="Arial"/>
          <w:szCs w:val="24"/>
        </w:rPr>
      </w:pPr>
    </w:p>
    <w:p w14:paraId="39E6904A" w14:textId="77777777" w:rsidR="00331906" w:rsidRPr="00480518" w:rsidRDefault="00331906" w:rsidP="00480518">
      <w:pPr>
        <w:ind w:left="567" w:right="141" w:hanging="567"/>
        <w:rPr>
          <w:rFonts w:cs="Arial"/>
          <w:szCs w:val="24"/>
        </w:rPr>
      </w:pPr>
    </w:p>
    <w:p w14:paraId="6CCFADAE" w14:textId="666527EF" w:rsidR="00480518" w:rsidRDefault="00480518" w:rsidP="00DF28AA">
      <w:pPr>
        <w:keepNext/>
        <w:outlineLvl w:val="1"/>
        <w:rPr>
          <w:rFonts w:cs="Arial"/>
          <w:b/>
          <w:bCs/>
          <w:szCs w:val="24"/>
        </w:rPr>
      </w:pPr>
      <w:r w:rsidRPr="00DF28AA">
        <w:rPr>
          <w:rFonts w:cs="Arial"/>
          <w:b/>
          <w:bCs/>
          <w:szCs w:val="24"/>
        </w:rPr>
        <w:t>Equalities implications / Public Sector Equality Duty</w:t>
      </w:r>
    </w:p>
    <w:p w14:paraId="51B9FA3A" w14:textId="77777777" w:rsidR="00A3771B" w:rsidRPr="00DF28AA" w:rsidRDefault="00A3771B" w:rsidP="00DF28AA">
      <w:pPr>
        <w:keepNext/>
        <w:outlineLvl w:val="1"/>
        <w:rPr>
          <w:rFonts w:cs="Arial"/>
          <w:b/>
          <w:bCs/>
          <w:color w:val="FF0000"/>
          <w:szCs w:val="24"/>
        </w:rPr>
      </w:pPr>
    </w:p>
    <w:p w14:paraId="5C97A181" w14:textId="3D0ACCCA" w:rsidR="001E7D41" w:rsidRPr="00480518" w:rsidRDefault="00480518" w:rsidP="00DF28AA">
      <w:pPr>
        <w:pStyle w:val="ListParagraph"/>
        <w:numPr>
          <w:ilvl w:val="0"/>
          <w:numId w:val="27"/>
        </w:numPr>
      </w:pPr>
      <w:r w:rsidRPr="00AF64CA">
        <w:rPr>
          <w:rFonts w:cs="Arial"/>
          <w:szCs w:val="24"/>
        </w:rPr>
        <w:t>One of the aims of the Capital Strategy is to ensure the responsible allocation of funding in line with the Council’s priorities and legislative requirements such as equalities legislation. The officer’s</w:t>
      </w:r>
      <w:r w:rsidR="00331906">
        <w:rPr>
          <w:rFonts w:cs="Arial"/>
          <w:szCs w:val="24"/>
        </w:rPr>
        <w:t xml:space="preserve"> </w:t>
      </w:r>
      <w:r w:rsidRPr="00AF64CA">
        <w:rPr>
          <w:rFonts w:cs="Arial"/>
          <w:szCs w:val="24"/>
        </w:rPr>
        <w:t xml:space="preserve">views are that no protected group is adversely affected by the proposals.  </w:t>
      </w:r>
    </w:p>
    <w:p w14:paraId="15790344" w14:textId="77777777" w:rsidR="00480518" w:rsidRPr="00480518" w:rsidRDefault="00480518" w:rsidP="00DF28AA">
      <w:pPr>
        <w:tabs>
          <w:tab w:val="left" w:pos="6150"/>
        </w:tabs>
        <w:ind w:left="567"/>
        <w:jc w:val="both"/>
      </w:pPr>
      <w:r w:rsidRPr="00480518">
        <w:tab/>
      </w:r>
    </w:p>
    <w:p w14:paraId="5E7F0B5D" w14:textId="77777777" w:rsidR="00480518" w:rsidRDefault="00480518" w:rsidP="00AB4FD9">
      <w:pPr>
        <w:numPr>
          <w:ilvl w:val="0"/>
          <w:numId w:val="27"/>
        </w:numPr>
        <w:tabs>
          <w:tab w:val="clear" w:pos="360"/>
          <w:tab w:val="num" w:pos="2268"/>
        </w:tabs>
        <w:ind w:left="426" w:hanging="426"/>
        <w:jc w:val="both"/>
        <w:rPr>
          <w:rFonts w:cs="Arial"/>
          <w:szCs w:val="24"/>
        </w:rPr>
      </w:pPr>
      <w:r w:rsidRPr="00480518">
        <w:rPr>
          <w:rFonts w:cs="Arial"/>
          <w:szCs w:val="24"/>
        </w:rPr>
        <w:lastRenderedPageBreak/>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2A563E1B" w:rsid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49995DDC" w14:textId="77777777" w:rsidR="00D6413A" w:rsidRPr="00480518" w:rsidRDefault="00D6413A" w:rsidP="00480518">
      <w:pPr>
        <w:ind w:left="567"/>
        <w:jc w:val="both"/>
        <w:rPr>
          <w:rFonts w:cs="Arial"/>
          <w:i/>
          <w:iCs/>
          <w:szCs w:val="24"/>
        </w:rPr>
      </w:pPr>
    </w:p>
    <w:p w14:paraId="0136347C" w14:textId="77777777" w:rsidR="00D6413A" w:rsidRDefault="00480518" w:rsidP="00D6413A">
      <w:pPr>
        <w:pStyle w:val="ListParagraph"/>
        <w:numPr>
          <w:ilvl w:val="1"/>
          <w:numId w:val="30"/>
        </w:numPr>
        <w:jc w:val="both"/>
        <w:rPr>
          <w:rFonts w:cs="Arial"/>
          <w:i/>
          <w:iCs/>
          <w:szCs w:val="24"/>
        </w:rPr>
      </w:pPr>
      <w:r w:rsidRPr="00D6413A">
        <w:rPr>
          <w:rFonts w:cs="Arial"/>
          <w:i/>
          <w:iCs/>
          <w:szCs w:val="24"/>
        </w:rPr>
        <w:t>eliminate discrimination, harassment, victimisation and any other conduct that is prohibited by or under this Act;</w:t>
      </w:r>
    </w:p>
    <w:p w14:paraId="071C6134" w14:textId="77777777" w:rsidR="00D6413A" w:rsidRDefault="00D6413A" w:rsidP="00D6413A">
      <w:pPr>
        <w:pStyle w:val="ListParagraph"/>
        <w:ind w:left="1440"/>
        <w:jc w:val="both"/>
        <w:rPr>
          <w:rFonts w:cs="Arial"/>
          <w:i/>
          <w:iCs/>
          <w:szCs w:val="24"/>
        </w:rPr>
      </w:pPr>
    </w:p>
    <w:p w14:paraId="6EB14019" w14:textId="657CFDAA" w:rsidR="00D6413A" w:rsidRDefault="00480518" w:rsidP="00D6413A">
      <w:pPr>
        <w:pStyle w:val="ListParagraph"/>
        <w:numPr>
          <w:ilvl w:val="1"/>
          <w:numId w:val="30"/>
        </w:numPr>
        <w:jc w:val="both"/>
        <w:rPr>
          <w:rFonts w:cs="Arial"/>
          <w:i/>
          <w:iCs/>
          <w:szCs w:val="24"/>
        </w:rPr>
      </w:pPr>
      <w:r w:rsidRPr="00D6413A">
        <w:rPr>
          <w:rFonts w:cs="Arial"/>
          <w:i/>
          <w:iCs/>
          <w:szCs w:val="24"/>
        </w:rPr>
        <w:t>advance equality of opportunity between persons who share a relevant protected characteristic and persons who do not share it;</w:t>
      </w:r>
    </w:p>
    <w:p w14:paraId="70E7115E" w14:textId="77777777" w:rsidR="00D6413A" w:rsidRDefault="00D6413A" w:rsidP="00D6413A">
      <w:pPr>
        <w:pStyle w:val="ListParagraph"/>
        <w:ind w:left="1440"/>
        <w:jc w:val="both"/>
        <w:rPr>
          <w:rFonts w:cs="Arial"/>
          <w:i/>
          <w:iCs/>
          <w:szCs w:val="24"/>
        </w:rPr>
      </w:pPr>
    </w:p>
    <w:p w14:paraId="16ECBA62" w14:textId="20F4F851" w:rsidR="00480518" w:rsidRPr="00D6413A" w:rsidRDefault="00480518" w:rsidP="00D6413A">
      <w:pPr>
        <w:pStyle w:val="ListParagraph"/>
        <w:numPr>
          <w:ilvl w:val="1"/>
          <w:numId w:val="30"/>
        </w:numPr>
        <w:jc w:val="both"/>
        <w:rPr>
          <w:rFonts w:cs="Arial"/>
          <w:i/>
          <w:iCs/>
          <w:szCs w:val="24"/>
        </w:rPr>
      </w:pPr>
      <w:r w:rsidRPr="00D6413A">
        <w:rPr>
          <w:rFonts w:cs="Arial"/>
          <w:i/>
          <w:iCs/>
          <w:szCs w:val="24"/>
        </w:rPr>
        <w:t>foster good relations between persons who share a relevant protected characteristic and persons who do not share it.</w:t>
      </w:r>
    </w:p>
    <w:p w14:paraId="12B7111B" w14:textId="1A66227F" w:rsidR="00480518" w:rsidRDefault="00480518" w:rsidP="00480518">
      <w:pPr>
        <w:ind w:left="748"/>
        <w:jc w:val="both"/>
        <w:rPr>
          <w:rFonts w:cs="Arial"/>
          <w:i/>
          <w:iCs/>
          <w:szCs w:val="24"/>
        </w:rPr>
      </w:pPr>
      <w:r w:rsidRPr="00480518">
        <w:rPr>
          <w:rFonts w:cs="Arial"/>
          <w:i/>
          <w:iCs/>
          <w:szCs w:val="24"/>
        </w:rPr>
        <w:t>The relevant protected characteristics are:</w:t>
      </w:r>
    </w:p>
    <w:p w14:paraId="5B461310" w14:textId="77777777" w:rsidR="00D6413A" w:rsidRPr="00480518" w:rsidRDefault="00D6413A" w:rsidP="00480518">
      <w:pPr>
        <w:ind w:left="748"/>
        <w:jc w:val="both"/>
        <w:rPr>
          <w:rFonts w:cs="Arial"/>
          <w:i/>
          <w:iCs/>
          <w:szCs w:val="24"/>
        </w:rPr>
      </w:pPr>
    </w:p>
    <w:p w14:paraId="1417E19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14:paraId="200388F3" w14:textId="77777777"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14:paraId="28D2B709" w14:textId="77777777" w:rsidR="00480518" w:rsidRPr="00480518" w:rsidRDefault="00480518" w:rsidP="00DF28AA"/>
    <w:p w14:paraId="36C4A485" w14:textId="77777777"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14:paraId="680F6460" w14:textId="757A4B82" w:rsidR="003C66D7" w:rsidRDefault="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w:t>
      </w:r>
      <w:r w:rsidR="00A3771B">
        <w:rPr>
          <w:rFonts w:cs="Arial"/>
          <w:szCs w:val="24"/>
        </w:rPr>
        <w:t>Draft Capital Programme</w:t>
      </w:r>
      <w:r w:rsidR="003C66D7">
        <w:rPr>
          <w:rFonts w:cs="Arial"/>
          <w:szCs w:val="24"/>
        </w:rPr>
        <w:t xml:space="preserve"> </w:t>
      </w:r>
      <w:r>
        <w:rPr>
          <w:rFonts w:cs="Arial"/>
          <w:szCs w:val="24"/>
        </w:rPr>
        <w:t>for 202</w:t>
      </w:r>
      <w:r w:rsidR="00A3771B">
        <w:rPr>
          <w:rFonts w:cs="Arial"/>
          <w:szCs w:val="24"/>
        </w:rPr>
        <w:t>4/25</w:t>
      </w:r>
      <w:r>
        <w:rPr>
          <w:rFonts w:cs="Arial"/>
          <w:szCs w:val="24"/>
        </w:rPr>
        <w:t xml:space="preserve"> to 202</w:t>
      </w:r>
      <w:r w:rsidR="00A3771B">
        <w:rPr>
          <w:rFonts w:cs="Arial"/>
          <w:szCs w:val="24"/>
        </w:rPr>
        <w:t>6/27</w:t>
      </w:r>
      <w:r w:rsidR="00B40DCE">
        <w:rPr>
          <w:rFonts w:cs="Arial"/>
          <w:szCs w:val="24"/>
        </w:rPr>
        <w:t xml:space="preserve"> </w:t>
      </w:r>
      <w:r>
        <w:rPr>
          <w:rFonts w:cs="Arial"/>
          <w:szCs w:val="24"/>
        </w:rPr>
        <w:t>ha</w:t>
      </w:r>
      <w:r w:rsidR="003C66D7">
        <w:rPr>
          <w:rFonts w:cs="Arial"/>
          <w:szCs w:val="24"/>
        </w:rPr>
        <w:t>ve</w:t>
      </w:r>
      <w:r>
        <w:rPr>
          <w:rFonts w:cs="Arial"/>
          <w:szCs w:val="24"/>
        </w:rPr>
        <w:t xml:space="preserve"> been prepared in line with the </w:t>
      </w:r>
      <w:r w:rsidRPr="00D378CC">
        <w:rPr>
          <w:rFonts w:cs="Arial"/>
          <w:szCs w:val="24"/>
        </w:rPr>
        <w:t xml:space="preserve">Council’s </w:t>
      </w:r>
      <w:r>
        <w:rPr>
          <w:rFonts w:cs="Arial"/>
          <w:szCs w:val="24"/>
        </w:rPr>
        <w:t>priorities</w:t>
      </w:r>
      <w:r w:rsidR="00AF64CA">
        <w:rPr>
          <w:rFonts w:cs="Arial"/>
          <w:szCs w:val="24"/>
        </w:rPr>
        <w:t xml:space="preserve"> set out below</w:t>
      </w:r>
      <w:r>
        <w:rPr>
          <w:rFonts w:cs="Arial"/>
          <w:szCs w:val="24"/>
        </w:rPr>
        <w:t>:</w:t>
      </w:r>
    </w:p>
    <w:p w14:paraId="7C0535A8" w14:textId="14F42091" w:rsidR="00B94D4B" w:rsidRDefault="00B94D4B" w:rsidP="00331906">
      <w:pPr>
        <w:tabs>
          <w:tab w:val="left" w:pos="7470"/>
        </w:tabs>
      </w:pPr>
    </w:p>
    <w:p w14:paraId="18F49635" w14:textId="680F35FA" w:rsidR="00B94D4B" w:rsidRDefault="00B94D4B" w:rsidP="00331906">
      <w:pPr>
        <w:pStyle w:val="ListParagraph"/>
        <w:numPr>
          <w:ilvl w:val="0"/>
          <w:numId w:val="58"/>
        </w:numPr>
        <w:tabs>
          <w:tab w:val="left" w:pos="7470"/>
        </w:tabs>
      </w:pPr>
      <w:r>
        <w:t xml:space="preserve">A council that puts residents first  </w:t>
      </w:r>
    </w:p>
    <w:p w14:paraId="28266A95" w14:textId="1610C2EF" w:rsidR="00B94D4B" w:rsidRDefault="00B94D4B" w:rsidP="00331906">
      <w:pPr>
        <w:pStyle w:val="ListParagraph"/>
        <w:numPr>
          <w:ilvl w:val="0"/>
          <w:numId w:val="58"/>
        </w:numPr>
        <w:tabs>
          <w:tab w:val="left" w:pos="7470"/>
        </w:tabs>
      </w:pPr>
      <w:r>
        <w:t xml:space="preserve">A borough that is clean and safe </w:t>
      </w:r>
    </w:p>
    <w:p w14:paraId="117CB7E2" w14:textId="6F36AD0E" w:rsidR="0046720E" w:rsidRPr="00D6413A" w:rsidRDefault="00B94D4B" w:rsidP="00D6413A">
      <w:pPr>
        <w:pStyle w:val="ListParagraph"/>
        <w:numPr>
          <w:ilvl w:val="0"/>
          <w:numId w:val="58"/>
        </w:numPr>
        <w:tabs>
          <w:tab w:val="left" w:pos="7470"/>
        </w:tabs>
        <w:rPr>
          <w:rFonts w:cs="Arial"/>
          <w:szCs w:val="24"/>
        </w:rPr>
      </w:pPr>
      <w:r>
        <w:t>A place where those in need are supported</w:t>
      </w:r>
    </w:p>
    <w:p w14:paraId="663D8D05" w14:textId="77777777" w:rsidR="003C66D7" w:rsidRDefault="003C66D7" w:rsidP="00DF28AA">
      <w:pPr>
        <w:pStyle w:val="Heading2"/>
        <w:spacing w:before="480" w:after="240"/>
      </w:pPr>
      <w:r>
        <w:t>Section 3 - Statutory Officer Clearance</w:t>
      </w:r>
    </w:p>
    <w:p w14:paraId="6257EB88" w14:textId="26D05FFD" w:rsidR="003C66D7" w:rsidRPr="00DF28AA" w:rsidRDefault="003C66D7" w:rsidP="00DF28AA">
      <w:pPr>
        <w:rPr>
          <w:sz w:val="28"/>
        </w:rPr>
      </w:pPr>
      <w:r w:rsidRPr="00DF28AA">
        <w:rPr>
          <w:b/>
          <w:sz w:val="28"/>
        </w:rPr>
        <w:t xml:space="preserve">Statutory Officer: </w:t>
      </w:r>
      <w:r w:rsidR="00794C2F">
        <w:rPr>
          <w:b/>
          <w:sz w:val="28"/>
        </w:rPr>
        <w:t>Sharon Daniels</w:t>
      </w:r>
    </w:p>
    <w:p w14:paraId="61F39DC4" w14:textId="77777777" w:rsidR="003C66D7" w:rsidRPr="00A66326" w:rsidRDefault="003C66D7" w:rsidP="00DF28AA">
      <w:r>
        <w:t xml:space="preserve">Signed by the </w:t>
      </w:r>
      <w:r w:rsidRPr="00A66326">
        <w:t>Chief Financial Officer</w:t>
      </w:r>
    </w:p>
    <w:p w14:paraId="2EE26F94" w14:textId="7C0CA5A0" w:rsidR="00754FC7" w:rsidRDefault="003C66D7" w:rsidP="00D6413A">
      <w:pPr>
        <w:rPr>
          <w:b/>
          <w:sz w:val="28"/>
        </w:rPr>
      </w:pPr>
      <w:r w:rsidRPr="00DF28AA">
        <w:rPr>
          <w:b/>
          <w:sz w:val="28"/>
        </w:rPr>
        <w:t xml:space="preserve">Date: </w:t>
      </w:r>
      <w:r w:rsidR="00713AD0">
        <w:rPr>
          <w:b/>
          <w:sz w:val="28"/>
        </w:rPr>
        <w:t>21/11/2023</w:t>
      </w:r>
    </w:p>
    <w:p w14:paraId="0C3AE38A" w14:textId="77777777" w:rsidR="00D6413A" w:rsidRPr="00DF28AA" w:rsidRDefault="00D6413A" w:rsidP="00D6413A">
      <w:pPr>
        <w:rPr>
          <w:sz w:val="28"/>
        </w:rPr>
      </w:pPr>
    </w:p>
    <w:p w14:paraId="25E79C34" w14:textId="5B7B5DF5" w:rsidR="003C66D7" w:rsidRPr="00DF28AA" w:rsidRDefault="003C66D7" w:rsidP="00DF28AA">
      <w:pPr>
        <w:rPr>
          <w:sz w:val="28"/>
        </w:rPr>
      </w:pPr>
      <w:r w:rsidRPr="00DF28AA">
        <w:rPr>
          <w:b/>
          <w:sz w:val="28"/>
        </w:rPr>
        <w:t xml:space="preserve">Statutory Officer: </w:t>
      </w:r>
      <w:r w:rsidR="00713AD0">
        <w:rPr>
          <w:b/>
          <w:sz w:val="28"/>
        </w:rPr>
        <w:t>Paresh Mehta</w:t>
      </w:r>
    </w:p>
    <w:p w14:paraId="4160305C" w14:textId="77777777" w:rsidR="003C66D7" w:rsidRPr="00A66326" w:rsidRDefault="003C66D7" w:rsidP="00DF28AA">
      <w:r w:rsidRPr="00A66326">
        <w:t>Signed on behalf o</w:t>
      </w:r>
      <w:r>
        <w:t xml:space="preserve">f </w:t>
      </w:r>
      <w:r w:rsidRPr="00A66326">
        <w:t>the Monitoring Officer</w:t>
      </w:r>
    </w:p>
    <w:p w14:paraId="222C1F7A" w14:textId="3D1B077B" w:rsidR="003C66D7" w:rsidRDefault="003C66D7" w:rsidP="00D6413A">
      <w:pPr>
        <w:rPr>
          <w:b/>
          <w:sz w:val="28"/>
        </w:rPr>
      </w:pPr>
      <w:r w:rsidRPr="00DF28AA">
        <w:rPr>
          <w:b/>
          <w:sz w:val="28"/>
        </w:rPr>
        <w:t xml:space="preserve">Date: </w:t>
      </w:r>
      <w:r w:rsidR="00713AD0">
        <w:rPr>
          <w:b/>
          <w:sz w:val="28"/>
        </w:rPr>
        <w:t>2</w:t>
      </w:r>
      <w:r w:rsidR="00A84E47">
        <w:rPr>
          <w:b/>
          <w:sz w:val="28"/>
        </w:rPr>
        <w:t>2</w:t>
      </w:r>
      <w:r w:rsidR="00713AD0">
        <w:rPr>
          <w:b/>
          <w:sz w:val="28"/>
        </w:rPr>
        <w:t>/11/2023</w:t>
      </w:r>
      <w:r w:rsidRPr="00DF28AA">
        <w:rPr>
          <w:b/>
          <w:sz w:val="28"/>
        </w:rPr>
        <w:t xml:space="preserve"> </w:t>
      </w:r>
    </w:p>
    <w:p w14:paraId="50FADD7D" w14:textId="430FDC27" w:rsidR="00D6413A" w:rsidRDefault="00D6413A" w:rsidP="00D6413A">
      <w:pPr>
        <w:rPr>
          <w:sz w:val="28"/>
        </w:rPr>
      </w:pPr>
    </w:p>
    <w:p w14:paraId="527D928B" w14:textId="366BB830" w:rsidR="00D6413A" w:rsidRDefault="00D6413A" w:rsidP="00D6413A">
      <w:pPr>
        <w:rPr>
          <w:sz w:val="28"/>
        </w:rPr>
      </w:pPr>
    </w:p>
    <w:p w14:paraId="5D85CD2C" w14:textId="77777777" w:rsidR="00D6413A" w:rsidRPr="00DF28AA" w:rsidRDefault="00D6413A" w:rsidP="00D6413A">
      <w:pPr>
        <w:rPr>
          <w:sz w:val="28"/>
        </w:rPr>
      </w:pPr>
    </w:p>
    <w:p w14:paraId="11C04DEF" w14:textId="17E42564" w:rsidR="003C66D7" w:rsidRPr="00DF28AA" w:rsidRDefault="003C66D7" w:rsidP="00DF28AA">
      <w:pPr>
        <w:rPr>
          <w:sz w:val="28"/>
        </w:rPr>
      </w:pPr>
      <w:r w:rsidRPr="00DF28AA">
        <w:rPr>
          <w:b/>
          <w:sz w:val="28"/>
        </w:rPr>
        <w:lastRenderedPageBreak/>
        <w:t xml:space="preserve">Chief Officer: </w:t>
      </w:r>
      <w:r w:rsidR="00713AD0">
        <w:rPr>
          <w:b/>
          <w:sz w:val="28"/>
        </w:rPr>
        <w:t>Alex Dewsnap</w:t>
      </w:r>
    </w:p>
    <w:p w14:paraId="197A8FA9" w14:textId="1CDB4243" w:rsidR="003C66D7" w:rsidRPr="00A66326" w:rsidRDefault="003C66D7" w:rsidP="00DF28AA">
      <w:r>
        <w:t xml:space="preserve">Signed by the </w:t>
      </w:r>
      <w:r w:rsidR="00713AD0">
        <w:t>Managing Director</w:t>
      </w:r>
    </w:p>
    <w:p w14:paraId="0DE604F7" w14:textId="1D8C4D05" w:rsidR="003C66D7" w:rsidRDefault="003C66D7" w:rsidP="00D6413A">
      <w:pPr>
        <w:rPr>
          <w:b/>
          <w:sz w:val="28"/>
        </w:rPr>
      </w:pPr>
      <w:r w:rsidRPr="00DF28AA">
        <w:rPr>
          <w:b/>
          <w:sz w:val="28"/>
        </w:rPr>
        <w:t xml:space="preserve">Date:  </w:t>
      </w:r>
      <w:r w:rsidR="00713AD0">
        <w:rPr>
          <w:b/>
          <w:sz w:val="28"/>
        </w:rPr>
        <w:t>20/11/2023</w:t>
      </w:r>
    </w:p>
    <w:p w14:paraId="2A738279" w14:textId="77777777" w:rsidR="00D6413A" w:rsidRPr="00DF28AA" w:rsidRDefault="00D6413A" w:rsidP="00D6413A">
      <w:pPr>
        <w:rPr>
          <w:sz w:val="28"/>
        </w:rPr>
      </w:pPr>
    </w:p>
    <w:p w14:paraId="4C591E8B" w14:textId="267B1903" w:rsidR="003C66D7" w:rsidRPr="00DF28AA" w:rsidRDefault="003C66D7" w:rsidP="00DF28AA">
      <w:pPr>
        <w:rPr>
          <w:sz w:val="28"/>
        </w:rPr>
      </w:pPr>
      <w:r w:rsidRPr="00DF28AA">
        <w:rPr>
          <w:b/>
          <w:sz w:val="28"/>
        </w:rPr>
        <w:t>Head of Procurement: Nimesh Mehta</w:t>
      </w:r>
    </w:p>
    <w:p w14:paraId="11F597C9" w14:textId="77777777" w:rsidR="003C66D7" w:rsidRPr="00A66326" w:rsidRDefault="003C66D7" w:rsidP="00DF28AA">
      <w:r w:rsidRPr="00A66326">
        <w:t xml:space="preserve">Signed by the </w:t>
      </w:r>
      <w:r>
        <w:t>Head of Procurement</w:t>
      </w:r>
    </w:p>
    <w:p w14:paraId="15CCB2F8" w14:textId="7A74691B" w:rsidR="003C66D7" w:rsidRDefault="003C66D7" w:rsidP="00D6413A">
      <w:pPr>
        <w:rPr>
          <w:b/>
          <w:sz w:val="28"/>
        </w:rPr>
      </w:pPr>
      <w:r w:rsidRPr="00DF28AA">
        <w:rPr>
          <w:b/>
          <w:sz w:val="28"/>
        </w:rPr>
        <w:t xml:space="preserve">Date:  </w:t>
      </w:r>
      <w:r w:rsidR="00713AD0">
        <w:rPr>
          <w:b/>
          <w:sz w:val="28"/>
        </w:rPr>
        <w:t>15/11/2023</w:t>
      </w:r>
    </w:p>
    <w:p w14:paraId="5EF11BBB" w14:textId="77777777" w:rsidR="00D6413A" w:rsidRPr="00DF28AA" w:rsidRDefault="00D6413A" w:rsidP="00D6413A">
      <w:pPr>
        <w:rPr>
          <w:sz w:val="28"/>
        </w:rPr>
      </w:pPr>
    </w:p>
    <w:p w14:paraId="68FA895E" w14:textId="259C7244" w:rsidR="003C66D7" w:rsidRPr="00DF28AA" w:rsidRDefault="00713AD0" w:rsidP="00DF28AA">
      <w:pPr>
        <w:rPr>
          <w:sz w:val="28"/>
        </w:rPr>
      </w:pPr>
      <w:r w:rsidRPr="00EE5E76">
        <w:rPr>
          <w:b/>
          <w:sz w:val="28"/>
        </w:rPr>
        <w:t>Head of Internal Audit</w:t>
      </w:r>
      <w:r w:rsidR="003C66D7" w:rsidRPr="00DF28AA">
        <w:rPr>
          <w:b/>
          <w:sz w:val="28"/>
        </w:rPr>
        <w:t xml:space="preserve">:  </w:t>
      </w:r>
      <w:r>
        <w:rPr>
          <w:b/>
          <w:sz w:val="28"/>
        </w:rPr>
        <w:t>Neale Burns</w:t>
      </w:r>
    </w:p>
    <w:p w14:paraId="6E74BA9B" w14:textId="0D359575" w:rsidR="003C66D7" w:rsidRPr="00A66326" w:rsidRDefault="003C66D7" w:rsidP="00DF28AA">
      <w:r w:rsidRPr="00A66326">
        <w:t xml:space="preserve">Signed </w:t>
      </w:r>
      <w:r w:rsidR="00713AD0">
        <w:t>on behalf of</w:t>
      </w:r>
      <w:r w:rsidRPr="00A66326">
        <w:t xml:space="preserve"> the </w:t>
      </w:r>
      <w:r>
        <w:t>Head of Internal Audit</w:t>
      </w:r>
    </w:p>
    <w:p w14:paraId="0F27B5E3" w14:textId="4822870C" w:rsidR="003C66D7" w:rsidRDefault="003C66D7" w:rsidP="00DF28AA">
      <w:pPr>
        <w:spacing w:after="480"/>
        <w:rPr>
          <w:b/>
          <w:bCs/>
          <w:sz w:val="28"/>
        </w:rPr>
      </w:pPr>
      <w:r w:rsidRPr="00074A71">
        <w:rPr>
          <w:b/>
          <w:bCs/>
          <w:sz w:val="28"/>
        </w:rPr>
        <w:t xml:space="preserve">Date: </w:t>
      </w:r>
      <w:r w:rsidR="00713AD0">
        <w:rPr>
          <w:b/>
          <w:bCs/>
          <w:sz w:val="28"/>
        </w:rPr>
        <w:t>15/11/2023</w:t>
      </w:r>
    </w:p>
    <w:p w14:paraId="1929F3CA" w14:textId="3C85A627" w:rsidR="00FC5082" w:rsidRDefault="00FC5082" w:rsidP="00D6413A">
      <w:pPr>
        <w:jc w:val="both"/>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6E43F8F6" w14:textId="77777777" w:rsidR="00D6413A" w:rsidRPr="00D6413A" w:rsidRDefault="00D6413A" w:rsidP="00D6413A">
      <w:pPr>
        <w:jc w:val="both"/>
      </w:pPr>
    </w:p>
    <w:p w14:paraId="3C2689E8" w14:textId="77777777" w:rsidR="00754FC7" w:rsidRPr="00DF28AA" w:rsidRDefault="00754FC7" w:rsidP="00754FC7">
      <w:pPr>
        <w:rPr>
          <w:rFonts w:cs="Arial"/>
          <w:b/>
          <w:bCs/>
          <w:sz w:val="28"/>
          <w:szCs w:val="32"/>
        </w:rPr>
      </w:pPr>
      <w:r w:rsidRPr="00DF28AA">
        <w:rPr>
          <w:rFonts w:cs="Arial"/>
          <w:b/>
          <w:bCs/>
          <w:sz w:val="28"/>
          <w:szCs w:val="32"/>
        </w:rPr>
        <w:t>Mandatory Checks</w:t>
      </w:r>
    </w:p>
    <w:p w14:paraId="2D8556FC" w14:textId="77777777" w:rsidR="00754FC7" w:rsidRDefault="00754FC7" w:rsidP="00754FC7"/>
    <w:p w14:paraId="6F66C2E2" w14:textId="0DA9B2E2" w:rsidR="00754FC7" w:rsidRDefault="00754FC7" w:rsidP="00754FC7">
      <w:r>
        <w:t>Ward Councillors notified:  NO, as it impacts on all Wards</w:t>
      </w:r>
    </w:p>
    <w:p w14:paraId="544F40ED" w14:textId="77777777" w:rsidR="00754FC7" w:rsidRDefault="00754FC7" w:rsidP="00754FC7"/>
    <w:p w14:paraId="7B1C62BD" w14:textId="6F7955E4" w:rsidR="00754FC7" w:rsidRPr="00DF28AA" w:rsidRDefault="00754FC7" w:rsidP="00754FC7">
      <w:pPr>
        <w:pStyle w:val="Heading1"/>
        <w:keepNext/>
        <w:rPr>
          <w:rFonts w:ascii="Arial" w:hAnsi="Arial" w:cs="Times New Roman"/>
          <w:bCs w:val="0"/>
          <w:sz w:val="24"/>
          <w:szCs w:val="20"/>
        </w:rPr>
      </w:pPr>
      <w:r w:rsidRPr="00DF28AA">
        <w:rPr>
          <w:rFonts w:ascii="Arial" w:hAnsi="Arial" w:cs="Times New Roman"/>
          <w:bCs w:val="0"/>
          <w:sz w:val="24"/>
          <w:szCs w:val="20"/>
        </w:rPr>
        <w:t>EqIA carried out: NO</w:t>
      </w:r>
      <w:r w:rsidR="00AF64CA">
        <w:rPr>
          <w:rFonts w:ascii="Arial" w:hAnsi="Arial" w:cs="Times New Roman"/>
          <w:bCs w:val="0"/>
          <w:sz w:val="24"/>
          <w:szCs w:val="20"/>
        </w:rPr>
        <w:t xml:space="preserve"> as these capital proposals are in the main rolling programme items which will improve the Council’s infrastructure and assets.</w:t>
      </w:r>
    </w:p>
    <w:p w14:paraId="560FACD6" w14:textId="77777777" w:rsidR="00754FC7" w:rsidRPr="00DF28AA" w:rsidRDefault="00754FC7" w:rsidP="00754FC7">
      <w:pPr>
        <w:pStyle w:val="Heading1"/>
        <w:keepNext/>
        <w:rPr>
          <w:rFonts w:ascii="Arial" w:hAnsi="Arial" w:cs="Times New Roman"/>
          <w:bCs w:val="0"/>
          <w:sz w:val="24"/>
          <w:szCs w:val="20"/>
        </w:rPr>
      </w:pPr>
    </w:p>
    <w:p w14:paraId="117322B1" w14:textId="7052A8FD" w:rsidR="002E3BCA" w:rsidRPr="00DF28AA" w:rsidRDefault="00754FC7" w:rsidP="00754FC7">
      <w:pPr>
        <w:pStyle w:val="Heading1"/>
        <w:keepNext/>
        <w:rPr>
          <w:rFonts w:ascii="Arial" w:hAnsi="Arial" w:cs="Times New Roman"/>
          <w:bCs w:val="0"/>
          <w:sz w:val="24"/>
          <w:szCs w:val="20"/>
        </w:rPr>
      </w:pPr>
      <w:r w:rsidRPr="00DF28AA">
        <w:rPr>
          <w:rFonts w:ascii="Arial" w:hAnsi="Arial" w:cs="Times New Roman"/>
          <w:bCs w:val="0"/>
          <w:sz w:val="24"/>
          <w:szCs w:val="20"/>
        </w:rPr>
        <w:t>EqIA cleared by:</w:t>
      </w:r>
      <w:r w:rsidR="00AF64CA">
        <w:rPr>
          <w:rFonts w:ascii="Arial" w:hAnsi="Arial" w:cs="Times New Roman"/>
          <w:bCs w:val="0"/>
          <w:sz w:val="24"/>
          <w:szCs w:val="20"/>
        </w:rPr>
        <w:t xml:space="preserve"> N/A</w:t>
      </w:r>
    </w:p>
    <w:p w14:paraId="5AC37EE3" w14:textId="18E7AF3F" w:rsidR="00754FC7" w:rsidRDefault="00754FC7" w:rsidP="00754FC7"/>
    <w:p w14:paraId="0B3AC321" w14:textId="77777777" w:rsidR="00754FC7" w:rsidRPr="005465B2" w:rsidRDefault="00754FC7" w:rsidP="00DF28AA"/>
    <w:p w14:paraId="363F0614" w14:textId="3D98293F" w:rsidR="00333FAA" w:rsidRPr="00A3771B" w:rsidRDefault="00333FAA" w:rsidP="00333FAA">
      <w:pPr>
        <w:pStyle w:val="Heading1"/>
        <w:keepNext/>
        <w:rPr>
          <w:sz w:val="28"/>
          <w:szCs w:val="28"/>
        </w:rPr>
      </w:pPr>
      <w:r w:rsidRPr="00A3771B">
        <w:rPr>
          <w:sz w:val="28"/>
          <w:szCs w:val="28"/>
        </w:rPr>
        <w:t xml:space="preserve">Section </w:t>
      </w:r>
      <w:r w:rsidR="00A20113" w:rsidRPr="00A3771B">
        <w:rPr>
          <w:sz w:val="28"/>
          <w:szCs w:val="28"/>
        </w:rPr>
        <w:t>4</w:t>
      </w:r>
      <w:r w:rsidRPr="00A3771B">
        <w:rPr>
          <w:sz w:val="28"/>
          <w:szCs w:val="28"/>
        </w:rPr>
        <w:t xml:space="preserve"> - Contact Details and Background Papers</w:t>
      </w:r>
    </w:p>
    <w:p w14:paraId="2AD8FA12" w14:textId="77777777" w:rsidR="00333FAA" w:rsidRDefault="00333FAA" w:rsidP="00333FAA">
      <w:pPr>
        <w:keepNext/>
        <w:rPr>
          <w:rFonts w:cs="Arial"/>
        </w:rPr>
      </w:pPr>
    </w:p>
    <w:p w14:paraId="60FE3EFB" w14:textId="67293871" w:rsidR="00480518" w:rsidRPr="00D47AA9" w:rsidRDefault="00333FAA" w:rsidP="00333FAA">
      <w:pPr>
        <w:pStyle w:val="Infotext"/>
        <w:rPr>
          <w:sz w:val="24"/>
          <w:szCs w:val="24"/>
        </w:rPr>
      </w:pPr>
      <w:r w:rsidRPr="00D47AA9">
        <w:rPr>
          <w:b/>
          <w:sz w:val="24"/>
          <w:szCs w:val="24"/>
        </w:rPr>
        <w:t xml:space="preserve">Contact:  </w:t>
      </w:r>
      <w:r w:rsidR="00FC5082" w:rsidRPr="00FC5082">
        <w:rPr>
          <w:bCs/>
          <w:sz w:val="24"/>
          <w:szCs w:val="24"/>
        </w:rPr>
        <w:t>Jessie Man</w:t>
      </w:r>
      <w:r w:rsidR="00480518" w:rsidRPr="00D47AA9">
        <w:rPr>
          <w:sz w:val="24"/>
          <w:szCs w:val="24"/>
        </w:rPr>
        <w:t xml:space="preserve">, </w:t>
      </w:r>
      <w:r w:rsidR="00FC5082">
        <w:rPr>
          <w:sz w:val="24"/>
          <w:szCs w:val="24"/>
        </w:rPr>
        <w:t xml:space="preserve">Interim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14:paraId="14C3171A" w14:textId="1B845E23" w:rsidR="00480518" w:rsidRPr="00D47AA9" w:rsidRDefault="00480518" w:rsidP="00333FAA">
      <w:pPr>
        <w:pStyle w:val="Infotext"/>
        <w:rPr>
          <w:sz w:val="24"/>
          <w:szCs w:val="24"/>
        </w:rPr>
      </w:pPr>
      <w:r w:rsidRPr="00D47AA9">
        <w:rPr>
          <w:sz w:val="24"/>
          <w:szCs w:val="24"/>
        </w:rPr>
        <w:t xml:space="preserve">Email: </w:t>
      </w:r>
      <w:hyperlink r:id="rId12" w:history="1">
        <w:r w:rsidR="00FC5082">
          <w:rPr>
            <w:rStyle w:val="Hyperlink"/>
            <w:sz w:val="24"/>
            <w:szCs w:val="24"/>
          </w:rPr>
          <w:t>jessie,man</w:t>
        </w:r>
        <w:r w:rsidR="00E23647" w:rsidRPr="00D47AA9">
          <w:rPr>
            <w:rStyle w:val="Hyperlink"/>
            <w:sz w:val="24"/>
            <w:szCs w:val="24"/>
          </w:rPr>
          <w:t>@harrow.gov.uk</w:t>
        </w:r>
      </w:hyperlink>
    </w:p>
    <w:p w14:paraId="1B59F3D9" w14:textId="77777777" w:rsidR="00333FAA" w:rsidRDefault="00333FAA" w:rsidP="00333FAA"/>
    <w:p w14:paraId="40E01EBA" w14:textId="1A0B3BA5" w:rsidR="00754FC7" w:rsidRDefault="00333FAA" w:rsidP="00333FAA">
      <w:pPr>
        <w:pStyle w:val="Infotext"/>
        <w:rPr>
          <w:b/>
        </w:rPr>
      </w:pPr>
      <w:r w:rsidRPr="004E47FC">
        <w:rPr>
          <w:b/>
        </w:rPr>
        <w:t>Background Papers</w:t>
      </w:r>
      <w:r w:rsidR="00AF64CA">
        <w:rPr>
          <w:b/>
        </w:rPr>
        <w:t>: none</w:t>
      </w:r>
    </w:p>
    <w:p w14:paraId="54955894" w14:textId="0073F7F7" w:rsidR="00754FC7" w:rsidRDefault="00754FC7" w:rsidP="00333FAA">
      <w:pPr>
        <w:pStyle w:val="Infotext"/>
        <w:rPr>
          <w:b/>
        </w:rPr>
      </w:pPr>
    </w:p>
    <w:p w14:paraId="64EC9689" w14:textId="5020DDA7" w:rsidR="00333FAA" w:rsidRPr="00480518" w:rsidRDefault="00754FC7" w:rsidP="00D6413A">
      <w:pPr>
        <w:pStyle w:val="Infotext"/>
        <w:rPr>
          <w:b/>
        </w:rPr>
      </w:pPr>
      <w:r w:rsidRPr="00754FC7">
        <w:rPr>
          <w:b/>
        </w:rPr>
        <w:t>Call-in waived by the Chair of Overview and Scrutiny Committee</w:t>
      </w:r>
      <w:r w:rsidR="00D6413A">
        <w:rPr>
          <w:b/>
        </w:rPr>
        <w:t>: No</w:t>
      </w:r>
      <w:r w:rsidR="005808FB">
        <w:rPr>
          <w:b/>
        </w:rPr>
        <w:t xml:space="preserve"> </w:t>
      </w:r>
    </w:p>
    <w:sectPr w:rsidR="00333FAA" w:rsidRPr="00480518" w:rsidSect="003314B4">
      <w:headerReference w:type="default" r:id="rId13"/>
      <w:headerReference w:type="first" r:id="rId14"/>
      <w:footerReference w:type="first" r:id="rId15"/>
      <w:pgSz w:w="11909" w:h="16834" w:code="9"/>
      <w:pgMar w:top="720" w:right="1561"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618A" w14:textId="77777777" w:rsidR="00CF3170" w:rsidRDefault="00CF3170">
      <w:r>
        <w:separator/>
      </w:r>
    </w:p>
  </w:endnote>
  <w:endnote w:type="continuationSeparator" w:id="0">
    <w:p w14:paraId="684B7F83" w14:textId="77777777" w:rsidR="00CF3170" w:rsidRDefault="00CF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40F" w14:textId="2ECF299D" w:rsidR="005B3EA0" w:rsidRPr="008C69F5" w:rsidRDefault="005B3EA0"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423E" w14:textId="77777777" w:rsidR="00CF3170" w:rsidRDefault="00CF3170">
      <w:r>
        <w:separator/>
      </w:r>
    </w:p>
  </w:footnote>
  <w:footnote w:type="continuationSeparator" w:id="0">
    <w:p w14:paraId="1D6E0F25" w14:textId="77777777" w:rsidR="00CF3170" w:rsidRDefault="00CF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761" w14:textId="77777777" w:rsidR="005B3EA0" w:rsidRDefault="005B3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136" w14:textId="77777777" w:rsidR="005B3EA0" w:rsidRDefault="005B3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3D6513"/>
    <w:multiLevelType w:val="hybridMultilevel"/>
    <w:tmpl w:val="8D56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3167EC"/>
    <w:multiLevelType w:val="hybridMultilevel"/>
    <w:tmpl w:val="21E0F9DA"/>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1201C"/>
    <w:multiLevelType w:val="hybridMultilevel"/>
    <w:tmpl w:val="1AF0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3" w15:restartNumberingAfterBreak="0">
    <w:nsid w:val="23B62441"/>
    <w:multiLevelType w:val="hybridMultilevel"/>
    <w:tmpl w:val="FEB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96734B"/>
    <w:multiLevelType w:val="hybridMultilevel"/>
    <w:tmpl w:val="E16CA3EC"/>
    <w:lvl w:ilvl="0" w:tplc="0E76118E">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6569A"/>
    <w:multiLevelType w:val="hybridMultilevel"/>
    <w:tmpl w:val="37DEA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944E5D"/>
    <w:multiLevelType w:val="hybridMultilevel"/>
    <w:tmpl w:val="5DC4A42A"/>
    <w:lvl w:ilvl="0" w:tplc="0809000F">
      <w:start w:val="1"/>
      <w:numFmt w:val="decimal"/>
      <w:lvlText w:val="%1."/>
      <w:lvlJc w:val="left"/>
      <w:pPr>
        <w:tabs>
          <w:tab w:val="num" w:pos="720"/>
        </w:tabs>
        <w:ind w:left="720" w:hanging="360"/>
      </w:pPr>
      <w:rPr>
        <w:rFonts w:cs="Times New Roman" w:hint="default"/>
      </w:rPr>
    </w:lvl>
    <w:lvl w:ilvl="1" w:tplc="53184274">
      <w:start w:val="1"/>
      <w:numFmt w:val="lowerLetter"/>
      <w:lvlText w:val="%2)"/>
      <w:lvlJc w:val="left"/>
      <w:pPr>
        <w:tabs>
          <w:tab w:val="num" w:pos="1440"/>
        </w:tabs>
        <w:ind w:left="1440" w:hanging="360"/>
      </w:pPr>
      <w:rPr>
        <w:rFonts w:ascii="Arial" w:eastAsia="Times New Roman" w:hAnsi="Arial" w:cs="Arial"/>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36EE1A2A"/>
    <w:multiLevelType w:val="hybridMultilevel"/>
    <w:tmpl w:val="CC9875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8DD31B1"/>
    <w:multiLevelType w:val="hybridMultilevel"/>
    <w:tmpl w:val="35160C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A452849"/>
    <w:multiLevelType w:val="hybridMultilevel"/>
    <w:tmpl w:val="977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1" w15:restartNumberingAfterBreak="0">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57C14E0D"/>
    <w:multiLevelType w:val="hybridMultilevel"/>
    <w:tmpl w:val="15326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60CF336A"/>
    <w:multiLevelType w:val="hybridMultilevel"/>
    <w:tmpl w:val="2EF4AD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9" w15:restartNumberingAfterBreak="0">
    <w:nsid w:val="6B394632"/>
    <w:multiLevelType w:val="hybridMultilevel"/>
    <w:tmpl w:val="407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2387351">
    <w:abstractNumId w:val="24"/>
  </w:num>
  <w:num w:numId="2" w16cid:durableId="1276866630">
    <w:abstractNumId w:val="47"/>
  </w:num>
  <w:num w:numId="3" w16cid:durableId="1747268300">
    <w:abstractNumId w:val="17"/>
  </w:num>
  <w:num w:numId="4" w16cid:durableId="1474177726">
    <w:abstractNumId w:val="55"/>
  </w:num>
  <w:num w:numId="5" w16cid:durableId="440808377">
    <w:abstractNumId w:val="46"/>
  </w:num>
  <w:num w:numId="6" w16cid:durableId="1529830142">
    <w:abstractNumId w:val="22"/>
  </w:num>
  <w:num w:numId="7" w16cid:durableId="1512259418">
    <w:abstractNumId w:val="2"/>
  </w:num>
  <w:num w:numId="8" w16cid:durableId="257062400">
    <w:abstractNumId w:val="34"/>
  </w:num>
  <w:num w:numId="9" w16cid:durableId="913584376">
    <w:abstractNumId w:val="35"/>
  </w:num>
  <w:num w:numId="10" w16cid:durableId="1227765060">
    <w:abstractNumId w:val="51"/>
  </w:num>
  <w:num w:numId="11" w16cid:durableId="1860310509">
    <w:abstractNumId w:val="14"/>
  </w:num>
  <w:num w:numId="12" w16cid:durableId="1463621230">
    <w:abstractNumId w:val="32"/>
  </w:num>
  <w:num w:numId="13" w16cid:durableId="2109740301">
    <w:abstractNumId w:val="33"/>
  </w:num>
  <w:num w:numId="14" w16cid:durableId="1460875059">
    <w:abstractNumId w:val="15"/>
  </w:num>
  <w:num w:numId="15" w16cid:durableId="666640922">
    <w:abstractNumId w:val="39"/>
  </w:num>
  <w:num w:numId="16" w16cid:durableId="180902449">
    <w:abstractNumId w:val="19"/>
  </w:num>
  <w:num w:numId="17" w16cid:durableId="450904776">
    <w:abstractNumId w:val="43"/>
  </w:num>
  <w:num w:numId="18" w16cid:durableId="1810324530">
    <w:abstractNumId w:val="25"/>
  </w:num>
  <w:num w:numId="19" w16cid:durableId="701906800">
    <w:abstractNumId w:val="50"/>
  </w:num>
  <w:num w:numId="20" w16cid:durableId="962807692">
    <w:abstractNumId w:val="5"/>
  </w:num>
  <w:num w:numId="21" w16cid:durableId="1709334451">
    <w:abstractNumId w:val="1"/>
  </w:num>
  <w:num w:numId="22" w16cid:durableId="1520317483">
    <w:abstractNumId w:val="7"/>
  </w:num>
  <w:num w:numId="23" w16cid:durableId="1765221981">
    <w:abstractNumId w:val="37"/>
  </w:num>
  <w:num w:numId="24" w16cid:durableId="672805465">
    <w:abstractNumId w:val="9"/>
  </w:num>
  <w:num w:numId="25" w16cid:durableId="1694958367">
    <w:abstractNumId w:val="23"/>
  </w:num>
  <w:num w:numId="26" w16cid:durableId="780682272">
    <w:abstractNumId w:val="0"/>
  </w:num>
  <w:num w:numId="27" w16cid:durableId="776484144">
    <w:abstractNumId w:val="8"/>
  </w:num>
  <w:num w:numId="28" w16cid:durableId="18238104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719585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302301">
    <w:abstractNumId w:val="26"/>
  </w:num>
  <w:num w:numId="31" w16cid:durableId="823351825">
    <w:abstractNumId w:val="12"/>
  </w:num>
  <w:num w:numId="32" w16cid:durableId="447941817">
    <w:abstractNumId w:val="53"/>
  </w:num>
  <w:num w:numId="33" w16cid:durableId="162650103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196890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94671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943679">
    <w:abstractNumId w:val="10"/>
  </w:num>
  <w:num w:numId="37" w16cid:durableId="29575975">
    <w:abstractNumId w:val="3"/>
  </w:num>
  <w:num w:numId="38" w16cid:durableId="451168212">
    <w:abstractNumId w:val="20"/>
  </w:num>
  <w:num w:numId="39" w16cid:durableId="526062927">
    <w:abstractNumId w:val="28"/>
  </w:num>
  <w:num w:numId="40" w16cid:durableId="13799341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051519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3805199">
    <w:abstractNumId w:val="18"/>
  </w:num>
  <w:num w:numId="43" w16cid:durableId="1498694421">
    <w:abstractNumId w:val="36"/>
  </w:num>
  <w:num w:numId="44" w16cid:durableId="1164131134">
    <w:abstractNumId w:val="30"/>
  </w:num>
  <w:num w:numId="45" w16cid:durableId="558563614">
    <w:abstractNumId w:val="38"/>
  </w:num>
  <w:num w:numId="46" w16cid:durableId="1030910913">
    <w:abstractNumId w:val="4"/>
  </w:num>
  <w:num w:numId="47" w16cid:durableId="930502253">
    <w:abstractNumId w:val="27"/>
  </w:num>
  <w:num w:numId="48" w16cid:durableId="742027780">
    <w:abstractNumId w:val="21"/>
  </w:num>
  <w:num w:numId="49" w16cid:durableId="278923875">
    <w:abstractNumId w:val="54"/>
  </w:num>
  <w:num w:numId="50" w16cid:durableId="1459638685">
    <w:abstractNumId w:val="31"/>
  </w:num>
  <w:num w:numId="51" w16cid:durableId="1068529026">
    <w:abstractNumId w:val="44"/>
  </w:num>
  <w:num w:numId="52" w16cid:durableId="1220366356">
    <w:abstractNumId w:val="49"/>
  </w:num>
  <w:num w:numId="53" w16cid:durableId="1964728423">
    <w:abstractNumId w:val="29"/>
  </w:num>
  <w:num w:numId="54" w16cid:durableId="84420967">
    <w:abstractNumId w:val="13"/>
  </w:num>
  <w:num w:numId="55" w16cid:durableId="1777822173">
    <w:abstractNumId w:val="6"/>
  </w:num>
  <w:num w:numId="56" w16cid:durableId="1479880929">
    <w:abstractNumId w:val="42"/>
  </w:num>
  <w:num w:numId="57" w16cid:durableId="166598338">
    <w:abstractNumId w:val="11"/>
  </w:num>
  <w:num w:numId="58" w16cid:durableId="930434041">
    <w:abstractNumId w:val="16"/>
  </w:num>
  <w:num w:numId="59" w16cid:durableId="713888846">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507D"/>
    <w:rsid w:val="00011982"/>
    <w:rsid w:val="00012D4E"/>
    <w:rsid w:val="0001568D"/>
    <w:rsid w:val="00017808"/>
    <w:rsid w:val="0002285C"/>
    <w:rsid w:val="000232EB"/>
    <w:rsid w:val="0004029A"/>
    <w:rsid w:val="00040D5B"/>
    <w:rsid w:val="000429FF"/>
    <w:rsid w:val="00046DFF"/>
    <w:rsid w:val="000568CE"/>
    <w:rsid w:val="0006034E"/>
    <w:rsid w:val="000603F8"/>
    <w:rsid w:val="00062F0A"/>
    <w:rsid w:val="00063783"/>
    <w:rsid w:val="00063BBC"/>
    <w:rsid w:val="0006589D"/>
    <w:rsid w:val="00072057"/>
    <w:rsid w:val="00072413"/>
    <w:rsid w:val="00073765"/>
    <w:rsid w:val="00073FEA"/>
    <w:rsid w:val="00074A71"/>
    <w:rsid w:val="000768F1"/>
    <w:rsid w:val="000770EA"/>
    <w:rsid w:val="00081B71"/>
    <w:rsid w:val="0008529A"/>
    <w:rsid w:val="0008612D"/>
    <w:rsid w:val="000864E7"/>
    <w:rsid w:val="00093245"/>
    <w:rsid w:val="00094538"/>
    <w:rsid w:val="00096764"/>
    <w:rsid w:val="000A7032"/>
    <w:rsid w:val="000B7580"/>
    <w:rsid w:val="000B788F"/>
    <w:rsid w:val="000C14C9"/>
    <w:rsid w:val="000C1C72"/>
    <w:rsid w:val="000C340A"/>
    <w:rsid w:val="000D1B48"/>
    <w:rsid w:val="000D1EBB"/>
    <w:rsid w:val="000D2FDD"/>
    <w:rsid w:val="000D4DCF"/>
    <w:rsid w:val="000D76BE"/>
    <w:rsid w:val="000E638E"/>
    <w:rsid w:val="000F0E6F"/>
    <w:rsid w:val="000F1810"/>
    <w:rsid w:val="000F5A50"/>
    <w:rsid w:val="00102A7B"/>
    <w:rsid w:val="00105058"/>
    <w:rsid w:val="00105B2C"/>
    <w:rsid w:val="001161E4"/>
    <w:rsid w:val="0012481E"/>
    <w:rsid w:val="00125A26"/>
    <w:rsid w:val="001271F2"/>
    <w:rsid w:val="00136F57"/>
    <w:rsid w:val="00146E05"/>
    <w:rsid w:val="00151F66"/>
    <w:rsid w:val="00153CFC"/>
    <w:rsid w:val="0015448F"/>
    <w:rsid w:val="001551D4"/>
    <w:rsid w:val="00155D08"/>
    <w:rsid w:val="00161501"/>
    <w:rsid w:val="0016289D"/>
    <w:rsid w:val="00174200"/>
    <w:rsid w:val="0017619C"/>
    <w:rsid w:val="001840D2"/>
    <w:rsid w:val="00184A6D"/>
    <w:rsid w:val="001875DC"/>
    <w:rsid w:val="001931D8"/>
    <w:rsid w:val="001966D7"/>
    <w:rsid w:val="001A1572"/>
    <w:rsid w:val="001A177F"/>
    <w:rsid w:val="001A6A6D"/>
    <w:rsid w:val="001A720D"/>
    <w:rsid w:val="001B7F07"/>
    <w:rsid w:val="001C0144"/>
    <w:rsid w:val="001C4D2E"/>
    <w:rsid w:val="001C7E35"/>
    <w:rsid w:val="001D438F"/>
    <w:rsid w:val="001E0DA0"/>
    <w:rsid w:val="001E203D"/>
    <w:rsid w:val="001E3C06"/>
    <w:rsid w:val="001E40DD"/>
    <w:rsid w:val="001E441E"/>
    <w:rsid w:val="001E570C"/>
    <w:rsid w:val="001E7D41"/>
    <w:rsid w:val="001F0BE9"/>
    <w:rsid w:val="001F1868"/>
    <w:rsid w:val="001F44EC"/>
    <w:rsid w:val="00202D79"/>
    <w:rsid w:val="00205D2F"/>
    <w:rsid w:val="00210415"/>
    <w:rsid w:val="002138BE"/>
    <w:rsid w:val="0021422B"/>
    <w:rsid w:val="00215E8F"/>
    <w:rsid w:val="0023468E"/>
    <w:rsid w:val="002353E1"/>
    <w:rsid w:val="00237914"/>
    <w:rsid w:val="002478C4"/>
    <w:rsid w:val="0025315D"/>
    <w:rsid w:val="002548D1"/>
    <w:rsid w:val="002548EE"/>
    <w:rsid w:val="00261477"/>
    <w:rsid w:val="00262003"/>
    <w:rsid w:val="002640D2"/>
    <w:rsid w:val="0026513D"/>
    <w:rsid w:val="0026586A"/>
    <w:rsid w:val="00272CC5"/>
    <w:rsid w:val="0028019B"/>
    <w:rsid w:val="0028164B"/>
    <w:rsid w:val="00285003"/>
    <w:rsid w:val="002923AA"/>
    <w:rsid w:val="00295391"/>
    <w:rsid w:val="00296AE6"/>
    <w:rsid w:val="002A3A74"/>
    <w:rsid w:val="002A4BBF"/>
    <w:rsid w:val="002B54A6"/>
    <w:rsid w:val="002C5F28"/>
    <w:rsid w:val="002D1345"/>
    <w:rsid w:val="002D24E1"/>
    <w:rsid w:val="002E11D9"/>
    <w:rsid w:val="002E13BA"/>
    <w:rsid w:val="002E3BCA"/>
    <w:rsid w:val="002F31B1"/>
    <w:rsid w:val="002F3EE9"/>
    <w:rsid w:val="002F5A93"/>
    <w:rsid w:val="002F7710"/>
    <w:rsid w:val="003005D7"/>
    <w:rsid w:val="00300D7F"/>
    <w:rsid w:val="00304ED3"/>
    <w:rsid w:val="00311458"/>
    <w:rsid w:val="00315E65"/>
    <w:rsid w:val="00316A84"/>
    <w:rsid w:val="00330250"/>
    <w:rsid w:val="003314B4"/>
    <w:rsid w:val="00331906"/>
    <w:rsid w:val="00333FAA"/>
    <w:rsid w:val="003355D7"/>
    <w:rsid w:val="003532AD"/>
    <w:rsid w:val="0036201C"/>
    <w:rsid w:val="0036288F"/>
    <w:rsid w:val="00365F4B"/>
    <w:rsid w:val="00371640"/>
    <w:rsid w:val="00371C01"/>
    <w:rsid w:val="00373D62"/>
    <w:rsid w:val="003744D9"/>
    <w:rsid w:val="003856CD"/>
    <w:rsid w:val="00386C14"/>
    <w:rsid w:val="00390AEE"/>
    <w:rsid w:val="00395BE1"/>
    <w:rsid w:val="003A0BE2"/>
    <w:rsid w:val="003A4837"/>
    <w:rsid w:val="003B44AD"/>
    <w:rsid w:val="003C66D7"/>
    <w:rsid w:val="003C7C12"/>
    <w:rsid w:val="003D609A"/>
    <w:rsid w:val="003E2818"/>
    <w:rsid w:val="003E55F4"/>
    <w:rsid w:val="003E70BD"/>
    <w:rsid w:val="003F3E80"/>
    <w:rsid w:val="00403B00"/>
    <w:rsid w:val="004050A5"/>
    <w:rsid w:val="004076C8"/>
    <w:rsid w:val="004154D7"/>
    <w:rsid w:val="00421A4C"/>
    <w:rsid w:val="0042315A"/>
    <w:rsid w:val="004268BA"/>
    <w:rsid w:val="004318AA"/>
    <w:rsid w:val="00432899"/>
    <w:rsid w:val="004363F7"/>
    <w:rsid w:val="00437C6B"/>
    <w:rsid w:val="0044079A"/>
    <w:rsid w:val="0044355D"/>
    <w:rsid w:val="00444E8B"/>
    <w:rsid w:val="00460DCC"/>
    <w:rsid w:val="00461E22"/>
    <w:rsid w:val="00463DDE"/>
    <w:rsid w:val="0046541C"/>
    <w:rsid w:val="0046720E"/>
    <w:rsid w:val="00467A64"/>
    <w:rsid w:val="00471B89"/>
    <w:rsid w:val="00471C1F"/>
    <w:rsid w:val="00474D7D"/>
    <w:rsid w:val="004773EE"/>
    <w:rsid w:val="00480518"/>
    <w:rsid w:val="00480886"/>
    <w:rsid w:val="0048675F"/>
    <w:rsid w:val="00490D23"/>
    <w:rsid w:val="004A7399"/>
    <w:rsid w:val="004A76E0"/>
    <w:rsid w:val="004B3B93"/>
    <w:rsid w:val="004B55DB"/>
    <w:rsid w:val="004C0246"/>
    <w:rsid w:val="004C6A9F"/>
    <w:rsid w:val="004D2DA0"/>
    <w:rsid w:val="004E0416"/>
    <w:rsid w:val="004E14A4"/>
    <w:rsid w:val="004E72BB"/>
    <w:rsid w:val="004F1F58"/>
    <w:rsid w:val="004F2E3D"/>
    <w:rsid w:val="005145BB"/>
    <w:rsid w:val="005354D0"/>
    <w:rsid w:val="0053779F"/>
    <w:rsid w:val="0054590F"/>
    <w:rsid w:val="005465B2"/>
    <w:rsid w:val="00547CFA"/>
    <w:rsid w:val="00550033"/>
    <w:rsid w:val="00557940"/>
    <w:rsid w:val="00563421"/>
    <w:rsid w:val="005645A7"/>
    <w:rsid w:val="00566EB8"/>
    <w:rsid w:val="00566F24"/>
    <w:rsid w:val="005718B5"/>
    <w:rsid w:val="005735EA"/>
    <w:rsid w:val="00576CCD"/>
    <w:rsid w:val="005808FB"/>
    <w:rsid w:val="0058224A"/>
    <w:rsid w:val="005850FD"/>
    <w:rsid w:val="005867D6"/>
    <w:rsid w:val="00587793"/>
    <w:rsid w:val="005A0FFD"/>
    <w:rsid w:val="005A5189"/>
    <w:rsid w:val="005A7232"/>
    <w:rsid w:val="005A7ABA"/>
    <w:rsid w:val="005B17A9"/>
    <w:rsid w:val="005B1B67"/>
    <w:rsid w:val="005B3271"/>
    <w:rsid w:val="005B32A5"/>
    <w:rsid w:val="005B3EA0"/>
    <w:rsid w:val="005B3F67"/>
    <w:rsid w:val="005B5926"/>
    <w:rsid w:val="005B6B30"/>
    <w:rsid w:val="005B7612"/>
    <w:rsid w:val="005B7BA4"/>
    <w:rsid w:val="005C2534"/>
    <w:rsid w:val="005D10D2"/>
    <w:rsid w:val="005D6EF5"/>
    <w:rsid w:val="005E068D"/>
    <w:rsid w:val="005E0C91"/>
    <w:rsid w:val="005E1647"/>
    <w:rsid w:val="005E232D"/>
    <w:rsid w:val="005E3A10"/>
    <w:rsid w:val="005E7509"/>
    <w:rsid w:val="005F297C"/>
    <w:rsid w:val="005F2B0D"/>
    <w:rsid w:val="006042E5"/>
    <w:rsid w:val="00604C75"/>
    <w:rsid w:val="00605ED0"/>
    <w:rsid w:val="00623685"/>
    <w:rsid w:val="00625575"/>
    <w:rsid w:val="00627675"/>
    <w:rsid w:val="00632905"/>
    <w:rsid w:val="0063526D"/>
    <w:rsid w:val="00647E4B"/>
    <w:rsid w:val="006503B0"/>
    <w:rsid w:val="00650CB4"/>
    <w:rsid w:val="00655044"/>
    <w:rsid w:val="006610C9"/>
    <w:rsid w:val="006612ED"/>
    <w:rsid w:val="00662C0B"/>
    <w:rsid w:val="00663119"/>
    <w:rsid w:val="00664D52"/>
    <w:rsid w:val="00670F17"/>
    <w:rsid w:val="0067105D"/>
    <w:rsid w:val="006716D2"/>
    <w:rsid w:val="006733CA"/>
    <w:rsid w:val="0067433B"/>
    <w:rsid w:val="006800BC"/>
    <w:rsid w:val="00691138"/>
    <w:rsid w:val="00693072"/>
    <w:rsid w:val="00696A83"/>
    <w:rsid w:val="006A158C"/>
    <w:rsid w:val="006A7CB2"/>
    <w:rsid w:val="006B01F5"/>
    <w:rsid w:val="006B5039"/>
    <w:rsid w:val="006C05C6"/>
    <w:rsid w:val="006C2661"/>
    <w:rsid w:val="006C27B3"/>
    <w:rsid w:val="006C587F"/>
    <w:rsid w:val="006C5B3A"/>
    <w:rsid w:val="006D68FB"/>
    <w:rsid w:val="006F057C"/>
    <w:rsid w:val="006F22DA"/>
    <w:rsid w:val="006F2EB3"/>
    <w:rsid w:val="006F4A1A"/>
    <w:rsid w:val="006F4EB3"/>
    <w:rsid w:val="006F5268"/>
    <w:rsid w:val="006F57C2"/>
    <w:rsid w:val="006F65C0"/>
    <w:rsid w:val="007010E5"/>
    <w:rsid w:val="00701213"/>
    <w:rsid w:val="0070244B"/>
    <w:rsid w:val="00707E76"/>
    <w:rsid w:val="00713AD0"/>
    <w:rsid w:val="00714BEE"/>
    <w:rsid w:val="00721215"/>
    <w:rsid w:val="00721AA3"/>
    <w:rsid w:val="007235D5"/>
    <w:rsid w:val="00723A07"/>
    <w:rsid w:val="00723CAC"/>
    <w:rsid w:val="00730CF1"/>
    <w:rsid w:val="00733870"/>
    <w:rsid w:val="007362AA"/>
    <w:rsid w:val="00743B73"/>
    <w:rsid w:val="007510B9"/>
    <w:rsid w:val="00754987"/>
    <w:rsid w:val="00754FC7"/>
    <w:rsid w:val="007554BD"/>
    <w:rsid w:val="007740AC"/>
    <w:rsid w:val="00781EF2"/>
    <w:rsid w:val="00793B1F"/>
    <w:rsid w:val="00794C2F"/>
    <w:rsid w:val="007A1BB9"/>
    <w:rsid w:val="007A53A8"/>
    <w:rsid w:val="007A56B6"/>
    <w:rsid w:val="007A7C11"/>
    <w:rsid w:val="007B23FC"/>
    <w:rsid w:val="007B297B"/>
    <w:rsid w:val="007C120B"/>
    <w:rsid w:val="007C49E5"/>
    <w:rsid w:val="007D0C1D"/>
    <w:rsid w:val="007D2672"/>
    <w:rsid w:val="007D4DBF"/>
    <w:rsid w:val="007D53DA"/>
    <w:rsid w:val="007D5637"/>
    <w:rsid w:val="007E0D26"/>
    <w:rsid w:val="007E1562"/>
    <w:rsid w:val="007E4732"/>
    <w:rsid w:val="007E799E"/>
    <w:rsid w:val="007F004E"/>
    <w:rsid w:val="007F1122"/>
    <w:rsid w:val="007F4BDA"/>
    <w:rsid w:val="007F6C67"/>
    <w:rsid w:val="0080719B"/>
    <w:rsid w:val="00812901"/>
    <w:rsid w:val="00812ECD"/>
    <w:rsid w:val="00817270"/>
    <w:rsid w:val="00822CDE"/>
    <w:rsid w:val="00826B9A"/>
    <w:rsid w:val="008304CD"/>
    <w:rsid w:val="0083499A"/>
    <w:rsid w:val="00834BE8"/>
    <w:rsid w:val="00835C20"/>
    <w:rsid w:val="008420A0"/>
    <w:rsid w:val="00845E35"/>
    <w:rsid w:val="00847C8B"/>
    <w:rsid w:val="0085084C"/>
    <w:rsid w:val="008611E5"/>
    <w:rsid w:val="008648EE"/>
    <w:rsid w:val="00875E34"/>
    <w:rsid w:val="008916DC"/>
    <w:rsid w:val="0089462D"/>
    <w:rsid w:val="008A5E82"/>
    <w:rsid w:val="008B424C"/>
    <w:rsid w:val="008B7513"/>
    <w:rsid w:val="008C0190"/>
    <w:rsid w:val="008D309A"/>
    <w:rsid w:val="008D49CA"/>
    <w:rsid w:val="008D78F9"/>
    <w:rsid w:val="008E2023"/>
    <w:rsid w:val="008E223F"/>
    <w:rsid w:val="008E224D"/>
    <w:rsid w:val="008E7048"/>
    <w:rsid w:val="00901E89"/>
    <w:rsid w:val="009047F3"/>
    <w:rsid w:val="00905EDD"/>
    <w:rsid w:val="00914695"/>
    <w:rsid w:val="00914951"/>
    <w:rsid w:val="009151D2"/>
    <w:rsid w:val="00917738"/>
    <w:rsid w:val="00921B96"/>
    <w:rsid w:val="009248A8"/>
    <w:rsid w:val="009334A0"/>
    <w:rsid w:val="009336D7"/>
    <w:rsid w:val="00933CB0"/>
    <w:rsid w:val="00936060"/>
    <w:rsid w:val="009371AD"/>
    <w:rsid w:val="00937CFF"/>
    <w:rsid w:val="00941485"/>
    <w:rsid w:val="00945C75"/>
    <w:rsid w:val="00947676"/>
    <w:rsid w:val="00951BCB"/>
    <w:rsid w:val="00953CF4"/>
    <w:rsid w:val="0095412B"/>
    <w:rsid w:val="009556DE"/>
    <w:rsid w:val="00962A6F"/>
    <w:rsid w:val="00977A30"/>
    <w:rsid w:val="0098562E"/>
    <w:rsid w:val="00990E9C"/>
    <w:rsid w:val="0099768F"/>
    <w:rsid w:val="009A69A1"/>
    <w:rsid w:val="009B160B"/>
    <w:rsid w:val="009C78AC"/>
    <w:rsid w:val="009D42A5"/>
    <w:rsid w:val="009D4BC8"/>
    <w:rsid w:val="009D5B8D"/>
    <w:rsid w:val="009D6D4F"/>
    <w:rsid w:val="009E4996"/>
    <w:rsid w:val="009F1DB3"/>
    <w:rsid w:val="009F247A"/>
    <w:rsid w:val="009F5818"/>
    <w:rsid w:val="00A01ABE"/>
    <w:rsid w:val="00A02D46"/>
    <w:rsid w:val="00A10143"/>
    <w:rsid w:val="00A10A9D"/>
    <w:rsid w:val="00A13BFA"/>
    <w:rsid w:val="00A15D4D"/>
    <w:rsid w:val="00A20113"/>
    <w:rsid w:val="00A22839"/>
    <w:rsid w:val="00A26B10"/>
    <w:rsid w:val="00A3257F"/>
    <w:rsid w:val="00A33185"/>
    <w:rsid w:val="00A3771B"/>
    <w:rsid w:val="00A41570"/>
    <w:rsid w:val="00A4478B"/>
    <w:rsid w:val="00A466F3"/>
    <w:rsid w:val="00A50E50"/>
    <w:rsid w:val="00A53B04"/>
    <w:rsid w:val="00A53B9F"/>
    <w:rsid w:val="00A5471E"/>
    <w:rsid w:val="00A55246"/>
    <w:rsid w:val="00A601DE"/>
    <w:rsid w:val="00A61CB7"/>
    <w:rsid w:val="00A66DD8"/>
    <w:rsid w:val="00A7271A"/>
    <w:rsid w:val="00A80D13"/>
    <w:rsid w:val="00A81FAE"/>
    <w:rsid w:val="00A82C85"/>
    <w:rsid w:val="00A8387D"/>
    <w:rsid w:val="00A84E47"/>
    <w:rsid w:val="00A92078"/>
    <w:rsid w:val="00AA280B"/>
    <w:rsid w:val="00AA3FAC"/>
    <w:rsid w:val="00AA5479"/>
    <w:rsid w:val="00AA5CE1"/>
    <w:rsid w:val="00AA656F"/>
    <w:rsid w:val="00AB057C"/>
    <w:rsid w:val="00AB32F9"/>
    <w:rsid w:val="00AB4880"/>
    <w:rsid w:val="00AB4FD9"/>
    <w:rsid w:val="00AB5C3E"/>
    <w:rsid w:val="00AB722B"/>
    <w:rsid w:val="00AB795F"/>
    <w:rsid w:val="00AC6312"/>
    <w:rsid w:val="00AD0694"/>
    <w:rsid w:val="00AD1C24"/>
    <w:rsid w:val="00AD4F8B"/>
    <w:rsid w:val="00AD5A05"/>
    <w:rsid w:val="00AD6081"/>
    <w:rsid w:val="00AE6F23"/>
    <w:rsid w:val="00AF30FC"/>
    <w:rsid w:val="00AF334D"/>
    <w:rsid w:val="00AF64CA"/>
    <w:rsid w:val="00B1160D"/>
    <w:rsid w:val="00B14937"/>
    <w:rsid w:val="00B16D25"/>
    <w:rsid w:val="00B17D40"/>
    <w:rsid w:val="00B20B40"/>
    <w:rsid w:val="00B2268F"/>
    <w:rsid w:val="00B25707"/>
    <w:rsid w:val="00B26F7A"/>
    <w:rsid w:val="00B335AC"/>
    <w:rsid w:val="00B3467D"/>
    <w:rsid w:val="00B37D69"/>
    <w:rsid w:val="00B40DCE"/>
    <w:rsid w:val="00B4220B"/>
    <w:rsid w:val="00B43DA5"/>
    <w:rsid w:val="00B444CE"/>
    <w:rsid w:val="00B44F1D"/>
    <w:rsid w:val="00B45955"/>
    <w:rsid w:val="00B4747A"/>
    <w:rsid w:val="00B53EFF"/>
    <w:rsid w:val="00B54AFA"/>
    <w:rsid w:val="00B57442"/>
    <w:rsid w:val="00B67C31"/>
    <w:rsid w:val="00B74BEB"/>
    <w:rsid w:val="00B7656C"/>
    <w:rsid w:val="00B772CA"/>
    <w:rsid w:val="00B804E8"/>
    <w:rsid w:val="00B84F94"/>
    <w:rsid w:val="00B9038B"/>
    <w:rsid w:val="00B94D4B"/>
    <w:rsid w:val="00BA66B6"/>
    <w:rsid w:val="00BB36D9"/>
    <w:rsid w:val="00BB41B1"/>
    <w:rsid w:val="00BB4D96"/>
    <w:rsid w:val="00BB5180"/>
    <w:rsid w:val="00BB6F25"/>
    <w:rsid w:val="00BC19E9"/>
    <w:rsid w:val="00BC206C"/>
    <w:rsid w:val="00BC7BE7"/>
    <w:rsid w:val="00BD2A1F"/>
    <w:rsid w:val="00BD6D41"/>
    <w:rsid w:val="00BD73F2"/>
    <w:rsid w:val="00BE0F87"/>
    <w:rsid w:val="00BE6EBC"/>
    <w:rsid w:val="00C00C0D"/>
    <w:rsid w:val="00C01297"/>
    <w:rsid w:val="00C01A35"/>
    <w:rsid w:val="00C041E9"/>
    <w:rsid w:val="00C05994"/>
    <w:rsid w:val="00C1132B"/>
    <w:rsid w:val="00C27A68"/>
    <w:rsid w:val="00C333E5"/>
    <w:rsid w:val="00C3471E"/>
    <w:rsid w:val="00C41A42"/>
    <w:rsid w:val="00C4317F"/>
    <w:rsid w:val="00C4449F"/>
    <w:rsid w:val="00C4502B"/>
    <w:rsid w:val="00C47100"/>
    <w:rsid w:val="00C477CB"/>
    <w:rsid w:val="00C50BDF"/>
    <w:rsid w:val="00C50F75"/>
    <w:rsid w:val="00C55996"/>
    <w:rsid w:val="00C57267"/>
    <w:rsid w:val="00C57D44"/>
    <w:rsid w:val="00C609E9"/>
    <w:rsid w:val="00C64714"/>
    <w:rsid w:val="00C745C3"/>
    <w:rsid w:val="00C76115"/>
    <w:rsid w:val="00C820C1"/>
    <w:rsid w:val="00C90DB3"/>
    <w:rsid w:val="00C9233F"/>
    <w:rsid w:val="00CA4A5C"/>
    <w:rsid w:val="00CA62F1"/>
    <w:rsid w:val="00CA7F5A"/>
    <w:rsid w:val="00CB16F2"/>
    <w:rsid w:val="00CB371F"/>
    <w:rsid w:val="00CB4BAF"/>
    <w:rsid w:val="00CC0B49"/>
    <w:rsid w:val="00CC31A0"/>
    <w:rsid w:val="00CC690E"/>
    <w:rsid w:val="00CC76E6"/>
    <w:rsid w:val="00CE2756"/>
    <w:rsid w:val="00CE3352"/>
    <w:rsid w:val="00CE724D"/>
    <w:rsid w:val="00CF078D"/>
    <w:rsid w:val="00CF0FC4"/>
    <w:rsid w:val="00CF1994"/>
    <w:rsid w:val="00CF1AE7"/>
    <w:rsid w:val="00CF3170"/>
    <w:rsid w:val="00CF6932"/>
    <w:rsid w:val="00CF75E9"/>
    <w:rsid w:val="00D04970"/>
    <w:rsid w:val="00D06A98"/>
    <w:rsid w:val="00D145F3"/>
    <w:rsid w:val="00D14650"/>
    <w:rsid w:val="00D15CFA"/>
    <w:rsid w:val="00D231C4"/>
    <w:rsid w:val="00D2652B"/>
    <w:rsid w:val="00D27997"/>
    <w:rsid w:val="00D3162D"/>
    <w:rsid w:val="00D372BF"/>
    <w:rsid w:val="00D37F2F"/>
    <w:rsid w:val="00D434AC"/>
    <w:rsid w:val="00D46C18"/>
    <w:rsid w:val="00D47AA9"/>
    <w:rsid w:val="00D528E1"/>
    <w:rsid w:val="00D56CAD"/>
    <w:rsid w:val="00D579B1"/>
    <w:rsid w:val="00D6413A"/>
    <w:rsid w:val="00D64D6B"/>
    <w:rsid w:val="00D71888"/>
    <w:rsid w:val="00D72D2D"/>
    <w:rsid w:val="00D80F37"/>
    <w:rsid w:val="00D818F6"/>
    <w:rsid w:val="00D835CF"/>
    <w:rsid w:val="00D851C2"/>
    <w:rsid w:val="00D903B0"/>
    <w:rsid w:val="00D9099A"/>
    <w:rsid w:val="00D90A37"/>
    <w:rsid w:val="00D94D69"/>
    <w:rsid w:val="00D97FA1"/>
    <w:rsid w:val="00DA26FB"/>
    <w:rsid w:val="00DB0292"/>
    <w:rsid w:val="00DB6C3D"/>
    <w:rsid w:val="00DB7535"/>
    <w:rsid w:val="00DC5ACF"/>
    <w:rsid w:val="00DD2361"/>
    <w:rsid w:val="00DD5CA2"/>
    <w:rsid w:val="00DE02DB"/>
    <w:rsid w:val="00DE6A36"/>
    <w:rsid w:val="00DE71D3"/>
    <w:rsid w:val="00DF08A0"/>
    <w:rsid w:val="00DF0973"/>
    <w:rsid w:val="00DF28AA"/>
    <w:rsid w:val="00DF7725"/>
    <w:rsid w:val="00DF7C84"/>
    <w:rsid w:val="00E03244"/>
    <w:rsid w:val="00E032AE"/>
    <w:rsid w:val="00E10AFA"/>
    <w:rsid w:val="00E16CD9"/>
    <w:rsid w:val="00E21E6B"/>
    <w:rsid w:val="00E23647"/>
    <w:rsid w:val="00E25090"/>
    <w:rsid w:val="00E25E15"/>
    <w:rsid w:val="00E27704"/>
    <w:rsid w:val="00E346B3"/>
    <w:rsid w:val="00E375A9"/>
    <w:rsid w:val="00E4008A"/>
    <w:rsid w:val="00E41326"/>
    <w:rsid w:val="00E41365"/>
    <w:rsid w:val="00E45B3B"/>
    <w:rsid w:val="00E54E05"/>
    <w:rsid w:val="00E6003D"/>
    <w:rsid w:val="00E80B8B"/>
    <w:rsid w:val="00E821A4"/>
    <w:rsid w:val="00E8313E"/>
    <w:rsid w:val="00E84F43"/>
    <w:rsid w:val="00E856A8"/>
    <w:rsid w:val="00E8792D"/>
    <w:rsid w:val="00E90F74"/>
    <w:rsid w:val="00E919C9"/>
    <w:rsid w:val="00E91F9C"/>
    <w:rsid w:val="00E92F38"/>
    <w:rsid w:val="00E947F4"/>
    <w:rsid w:val="00EA216C"/>
    <w:rsid w:val="00EA65A7"/>
    <w:rsid w:val="00EB0149"/>
    <w:rsid w:val="00EB5E57"/>
    <w:rsid w:val="00EB61E1"/>
    <w:rsid w:val="00ED006A"/>
    <w:rsid w:val="00ED090C"/>
    <w:rsid w:val="00ED1E7E"/>
    <w:rsid w:val="00EE1D57"/>
    <w:rsid w:val="00EE3D0A"/>
    <w:rsid w:val="00EE6763"/>
    <w:rsid w:val="00EF0669"/>
    <w:rsid w:val="00EF0A4A"/>
    <w:rsid w:val="00F0366D"/>
    <w:rsid w:val="00F14CCD"/>
    <w:rsid w:val="00F23B5E"/>
    <w:rsid w:val="00F23F2A"/>
    <w:rsid w:val="00F320E1"/>
    <w:rsid w:val="00F36169"/>
    <w:rsid w:val="00F40533"/>
    <w:rsid w:val="00F43262"/>
    <w:rsid w:val="00F524C0"/>
    <w:rsid w:val="00F5649A"/>
    <w:rsid w:val="00F65F7B"/>
    <w:rsid w:val="00F70007"/>
    <w:rsid w:val="00F730D3"/>
    <w:rsid w:val="00F82342"/>
    <w:rsid w:val="00F8491B"/>
    <w:rsid w:val="00F91AE4"/>
    <w:rsid w:val="00F91FD2"/>
    <w:rsid w:val="00F94645"/>
    <w:rsid w:val="00F95180"/>
    <w:rsid w:val="00FA1D36"/>
    <w:rsid w:val="00FA2BD2"/>
    <w:rsid w:val="00FA541D"/>
    <w:rsid w:val="00FB1231"/>
    <w:rsid w:val="00FB51BC"/>
    <w:rsid w:val="00FC2CCF"/>
    <w:rsid w:val="00FC5082"/>
    <w:rsid w:val="00FC5556"/>
    <w:rsid w:val="00FD0305"/>
    <w:rsid w:val="00FE17E2"/>
    <w:rsid w:val="00FE40AF"/>
    <w:rsid w:val="00FE4454"/>
    <w:rsid w:val="00FE52A8"/>
    <w:rsid w:val="00FE7F87"/>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76301025">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535391994">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812914241">
      <w:bodyDiv w:val="1"/>
      <w:marLeft w:val="0"/>
      <w:marRight w:val="0"/>
      <w:marTop w:val="0"/>
      <w:marBottom w:val="0"/>
      <w:divBdr>
        <w:top w:val="none" w:sz="0" w:space="0" w:color="auto"/>
        <w:left w:val="none" w:sz="0" w:space="0" w:color="auto"/>
        <w:bottom w:val="none" w:sz="0" w:space="0" w:color="auto"/>
        <w:right w:val="none" w:sz="0" w:space="0" w:color="auto"/>
      </w:divBdr>
    </w:div>
    <w:div w:id="82335704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4897424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5670578">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on.daniels@harrow.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1DEA-D5D0-4F60-A73C-B918E062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3314</Words>
  <Characters>17540</Characters>
  <Application>Microsoft Office Word</Application>
  <DocSecurity>0</DocSecurity>
  <Lines>584</Lines>
  <Paragraphs>219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20635</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Andrew Seaman5</cp:lastModifiedBy>
  <cp:revision>4</cp:revision>
  <cp:lastPrinted>2019-12-05T16:53:00Z</cp:lastPrinted>
  <dcterms:created xsi:type="dcterms:W3CDTF">2023-12-07T21:20:00Z</dcterms:created>
  <dcterms:modified xsi:type="dcterms:W3CDTF">2023-12-08T11:19:00Z</dcterms:modified>
</cp:coreProperties>
</file>